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FB27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68E39E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13E990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185" w:name="_GoBack"/>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27.140</w:t>
            </w:r>
            <w:r>
              <w:rPr>
                <w:rFonts w:ascii="黑体" w:hAnsi="黑体" w:eastAsia="黑体"/>
                <w:sz w:val="21"/>
                <w:szCs w:val="21"/>
              </w:rPr>
              <w:fldChar w:fldCharType="end"/>
            </w:r>
            <w:bookmarkEnd w:id="0"/>
            <w:bookmarkEnd w:id="185"/>
          </w:p>
        </w:tc>
      </w:tr>
      <w:tr w14:paraId="77FA5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8C9264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36C158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 55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E19B38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9864D2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1D642B9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ACE6823">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rPr>
        <w:t>4</w:t>
      </w:r>
      <w:r>
        <w:rPr>
          <w:rFonts w:hint="eastAsia"/>
        </w:rPr>
        <w:t>764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024</w:t>
      </w:r>
      <w:r>
        <w:fldChar w:fldCharType="end"/>
      </w:r>
      <w:bookmarkEnd w:id="7"/>
    </w:p>
    <w:p w14:paraId="10469142">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3C1843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653DB4C">
      <w:pPr>
        <w:pStyle w:val="50"/>
        <w:framePr w:w="9639" w:h="6976" w:hRule="exact" w:hSpace="0" w:vSpace="0" w:wrap="around" w:hAnchor="page" w:y="6408"/>
        <w:jc w:val="center"/>
        <w:rPr>
          <w:rFonts w:ascii="黑体" w:hAnsi="黑体" w:eastAsia="黑体"/>
          <w:b w:val="0"/>
          <w:bCs w:val="0"/>
          <w:w w:val="100"/>
        </w:rPr>
      </w:pPr>
    </w:p>
    <w:p w14:paraId="09E5B3DD">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骨干水网调度信息化建设技术导则</w:t>
      </w:r>
      <w:r>
        <w:fldChar w:fldCharType="end"/>
      </w:r>
      <w:bookmarkEnd w:id="9"/>
    </w:p>
    <w:p w14:paraId="578636D0">
      <w:pPr>
        <w:framePr w:w="9639" w:h="6974" w:hRule="exact" w:wrap="around" w:vAnchor="page" w:hAnchor="page" w:x="1419" w:y="6408" w:anchorLock="1"/>
        <w:ind w:left="-1418"/>
      </w:pPr>
    </w:p>
    <w:p w14:paraId="5ED2A8A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directives</w:t>
      </w:r>
      <w:r>
        <w:rPr>
          <w:rFonts w:eastAsia="黑体"/>
          <w:szCs w:val="28"/>
        </w:rPr>
        <w:t xml:space="preserve"> for the construction of backbone water network dispatching informatization</w:t>
      </w:r>
      <w:r>
        <w:rPr>
          <w:rFonts w:eastAsia="黑体"/>
          <w:szCs w:val="28"/>
        </w:rPr>
        <w:fldChar w:fldCharType="end"/>
      </w:r>
      <w:bookmarkEnd w:id="10"/>
    </w:p>
    <w:p w14:paraId="0BBA2E3E">
      <w:pPr>
        <w:framePr w:w="9639" w:h="6974" w:hRule="exact" w:wrap="around" w:vAnchor="page" w:hAnchor="page" w:x="1419" w:y="6408" w:anchorLock="1"/>
        <w:spacing w:line="760" w:lineRule="exact"/>
        <w:ind w:left="-1418"/>
      </w:pPr>
    </w:p>
    <w:p w14:paraId="552B27D5">
      <w:pPr>
        <w:pStyle w:val="125"/>
        <w:framePr w:w="9639" w:h="6974" w:hRule="exact" w:wrap="around" w:vAnchor="page" w:hAnchor="page" w:x="1419" w:y="6408" w:anchorLock="1"/>
        <w:textAlignment w:val="bottom"/>
        <w:rPr>
          <w:rFonts w:eastAsia="黑体"/>
          <w:szCs w:val="28"/>
        </w:rPr>
      </w:pPr>
    </w:p>
    <w:p w14:paraId="4AA719FB">
      <w:pPr>
        <w:pStyle w:val="125"/>
        <w:framePr w:w="9639" w:h="6974" w:hRule="exact" w:wrap="around" w:vAnchor="page" w:hAnchor="page" w:x="1419" w:y="6408" w:anchorLock="1"/>
        <w:spacing w:before="440" w:after="160"/>
        <w:textAlignment w:val="bottom"/>
        <w:rPr>
          <w:sz w:val="24"/>
          <w:szCs w:val="28"/>
        </w:rPr>
      </w:pPr>
    </w:p>
    <w:p w14:paraId="15C954D1">
      <w:pPr>
        <w:pStyle w:val="125"/>
        <w:framePr w:w="9639" w:h="6974" w:hRule="exact" w:wrap="around" w:vAnchor="page" w:hAnchor="page" w:x="1419" w:y="6408" w:anchorLock="1"/>
        <w:spacing w:before="180" w:line="240" w:lineRule="atLeast"/>
        <w:textAlignment w:val="bottom"/>
        <w:rPr>
          <w:sz w:val="21"/>
          <w:szCs w:val="28"/>
        </w:rPr>
      </w:pPr>
    </w:p>
    <w:p w14:paraId="2491094D">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092F3124">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hint="eastAsia" w:ascii="黑体"/>
        </w:rPr>
        <w:t>09</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hint="eastAsia" w:ascii="黑体"/>
        </w:rPr>
        <w:t>30</w:t>
      </w:r>
      <w:r>
        <w:rPr>
          <w:rFonts w:ascii="黑体"/>
        </w:rPr>
        <w:fldChar w:fldCharType="end"/>
      </w:r>
      <w:bookmarkEnd w:id="13"/>
      <w:r>
        <w:rPr>
          <w:rFonts w:hint="eastAsia"/>
        </w:rPr>
        <w:t>发布</w:t>
      </w:r>
    </w:p>
    <w:p w14:paraId="3E05A0D0">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hint="eastAsia" w:ascii="黑体"/>
        </w:rPr>
        <w:t>10</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hint="eastAsia" w:ascii="黑体"/>
        </w:rPr>
        <w:t>30</w:t>
      </w:r>
      <w:r>
        <w:rPr>
          <w:rFonts w:ascii="黑体"/>
        </w:rPr>
        <w:fldChar w:fldCharType="end"/>
      </w:r>
      <w:bookmarkEnd w:id="16"/>
      <w:r>
        <w:rPr>
          <w:rFonts w:hint="eastAsia"/>
        </w:rPr>
        <w:t>实施</w:t>
      </w:r>
    </w:p>
    <w:p w14:paraId="5B42B38A">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w:t>
      </w:r>
      <w:r>
        <w:rPr>
          <w:rFonts w:hAnsi="黑体"/>
          <w:w w:val="100"/>
          <w:sz w:val="28"/>
        </w:rPr>
        <w:t>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292444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E259946">
      <w:pPr>
        <w:pStyle w:val="91"/>
        <w:spacing w:after="468"/>
        <w:rPr>
          <w:rFonts w:hint="eastAsia"/>
        </w:rPr>
      </w:pPr>
      <w:bookmarkStart w:id="18" w:name="BookMark1"/>
      <w:bookmarkStart w:id="19" w:name="_Toc176870918"/>
      <w:bookmarkStart w:id="20" w:name="_Toc177197726"/>
      <w:bookmarkStart w:id="21" w:name="_Toc176869208"/>
      <w:bookmarkStart w:id="22" w:name="_Toc176866748"/>
      <w:r>
        <w:rPr>
          <w:rFonts w:hint="eastAsia"/>
          <w:spacing w:val="320"/>
        </w:rPr>
        <w:t>目</w:t>
      </w:r>
      <w:r>
        <w:rPr>
          <w:rFonts w:hint="eastAsia"/>
        </w:rPr>
        <w:t>次</w:t>
      </w:r>
    </w:p>
    <w:p w14:paraId="4D4AAE05">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"_Toc178153312" </w:instrText>
      </w:r>
      <w:r>
        <w:fldChar w:fldCharType="separate"/>
      </w:r>
      <w:r>
        <w:rPr>
          <w:rStyle w:val="32"/>
          <w:rFonts w:hint="eastAsia"/>
        </w:rPr>
        <w:t>前言</w:t>
      </w:r>
      <w:r>
        <w:tab/>
      </w:r>
      <w:r>
        <w:fldChar w:fldCharType="begin"/>
      </w:r>
      <w:r>
        <w:instrText xml:space="preserve"> PAGEREF _Toc178153312 \h </w:instrText>
      </w:r>
      <w:r>
        <w:fldChar w:fldCharType="separate"/>
      </w:r>
      <w:r>
        <w:t>III</w:t>
      </w:r>
      <w:r>
        <w:fldChar w:fldCharType="end"/>
      </w:r>
      <w:r>
        <w:fldChar w:fldCharType="end"/>
      </w:r>
    </w:p>
    <w:p w14:paraId="40548F00">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"_Toc178153313" </w:instrText>
      </w:r>
      <w:r>
        <w:fldChar w:fldCharType="separate"/>
      </w:r>
      <w:r>
        <w:rPr>
          <w:rStyle w:val="32"/>
        </w:rPr>
        <w:t xml:space="preserve">1 </w:t>
      </w:r>
      <w:r>
        <w:rPr>
          <w:rStyle w:val="32"/>
          <w:rFonts w:hint="eastAsia"/>
        </w:rPr>
        <w:t xml:space="preserve"> 范围</w:t>
      </w:r>
      <w:r>
        <w:tab/>
      </w:r>
      <w:r>
        <w:fldChar w:fldCharType="begin"/>
      </w:r>
      <w:r>
        <w:instrText xml:space="preserve"> PAGEREF _Toc178153313 \h </w:instrText>
      </w:r>
      <w:r>
        <w:fldChar w:fldCharType="separate"/>
      </w:r>
      <w:r>
        <w:t>1</w:t>
      </w:r>
      <w:r>
        <w:fldChar w:fldCharType="end"/>
      </w:r>
      <w:r>
        <w:fldChar w:fldCharType="end"/>
      </w:r>
    </w:p>
    <w:p w14:paraId="3267CFD0">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"_Toc178153314"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_Toc178153314 \h </w:instrText>
      </w:r>
      <w:r>
        <w:fldChar w:fldCharType="separate"/>
      </w:r>
      <w:r>
        <w:t>1</w:t>
      </w:r>
      <w:r>
        <w:fldChar w:fldCharType="end"/>
      </w:r>
      <w:r>
        <w:fldChar w:fldCharType="end"/>
      </w:r>
    </w:p>
    <w:p w14:paraId="6FCA1298">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"_Toc178153315"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_Toc178153315 \h </w:instrText>
      </w:r>
      <w:r>
        <w:fldChar w:fldCharType="separate"/>
      </w:r>
      <w:r>
        <w:t>1</w:t>
      </w:r>
      <w:r>
        <w:fldChar w:fldCharType="end"/>
      </w:r>
      <w:r>
        <w:fldChar w:fldCharType="end"/>
      </w:r>
    </w:p>
    <w:p w14:paraId="1FFE9283">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"_Toc178153316" </w:instrText>
      </w:r>
      <w:r>
        <w:fldChar w:fldCharType="separate"/>
      </w:r>
      <w:r>
        <w:rPr>
          <w:rStyle w:val="32"/>
        </w:rPr>
        <w:t xml:space="preserve">4 </w:t>
      </w:r>
      <w:r>
        <w:rPr>
          <w:rStyle w:val="32"/>
          <w:rFonts w:hint="eastAsia"/>
        </w:rPr>
        <w:t xml:space="preserve"> 总则与结构</w:t>
      </w:r>
      <w:r>
        <w:tab/>
      </w:r>
      <w:r>
        <w:fldChar w:fldCharType="begin"/>
      </w:r>
      <w:r>
        <w:instrText xml:space="preserve"> PAGEREF _Toc178153316 \h </w:instrText>
      </w:r>
      <w:r>
        <w:fldChar w:fldCharType="separate"/>
      </w:r>
      <w:r>
        <w:t>2</w:t>
      </w:r>
      <w:r>
        <w:fldChar w:fldCharType="end"/>
      </w:r>
      <w:r>
        <w:fldChar w:fldCharType="end"/>
      </w:r>
    </w:p>
    <w:p w14:paraId="000BABE3">
      <w:pPr>
        <w:pStyle w:val="24"/>
        <w:rPr>
          <w:rFonts w:asciiTheme="minorHAnsi" w:hAnsiTheme="minorHAnsi" w:eastAsiaTheme="minorEastAsia" w:cstheme="minorBidi"/>
          <w:szCs w:val="22"/>
        </w:rPr>
      </w:pPr>
      <w:r>
        <w:fldChar w:fldCharType="begin"/>
      </w:r>
      <w:r>
        <w:instrText xml:space="preserve"> HYPERLINK \l "_Toc178153317" </w:instrText>
      </w:r>
      <w:r>
        <w:fldChar w:fldCharType="separate"/>
      </w:r>
      <w:r>
        <w:rPr>
          <w:rStyle w:val="32"/>
          <w14:scene3d w14:prst="orthographicFront">
            <w14:lightRig w14:rig="threePt" w14:dir="t">
              <w14:rot w14:lat="0" w14:lon="0" w14:rev="0"/>
            </w14:lightRig>
          </w14:scene3d>
        </w:rPr>
        <w:t xml:space="preserve">4.1 </w:t>
      </w:r>
      <w:r>
        <w:rPr>
          <w:rStyle w:val="32"/>
          <w:rFonts w:hint="eastAsia"/>
        </w:rPr>
        <w:t xml:space="preserve"> 设计原则</w:t>
      </w:r>
      <w:r>
        <w:tab/>
      </w:r>
      <w:r>
        <w:fldChar w:fldCharType="begin"/>
      </w:r>
      <w:r>
        <w:instrText xml:space="preserve"> PAGEREF _Toc178153317 \h </w:instrText>
      </w:r>
      <w:r>
        <w:fldChar w:fldCharType="separate"/>
      </w:r>
      <w:r>
        <w:t>2</w:t>
      </w:r>
      <w:r>
        <w:fldChar w:fldCharType="end"/>
      </w:r>
      <w:r>
        <w:fldChar w:fldCharType="end"/>
      </w:r>
    </w:p>
    <w:p w14:paraId="6C9B04D8">
      <w:pPr>
        <w:pStyle w:val="24"/>
        <w:rPr>
          <w:rFonts w:asciiTheme="minorHAnsi" w:hAnsiTheme="minorHAnsi" w:eastAsiaTheme="minorEastAsia" w:cstheme="minorBidi"/>
          <w:szCs w:val="22"/>
        </w:rPr>
      </w:pPr>
      <w:r>
        <w:fldChar w:fldCharType="begin"/>
      </w:r>
      <w:r>
        <w:instrText xml:space="preserve"> HYPERLINK \l "_Toc178153318" </w:instrText>
      </w:r>
      <w:r>
        <w:fldChar w:fldCharType="separate"/>
      </w:r>
      <w:r>
        <w:rPr>
          <w:rStyle w:val="32"/>
          <w14:scene3d w14:prst="orthographicFront">
            <w14:lightRig w14:rig="threePt" w14:dir="t">
              <w14:rot w14:lat="0" w14:lon="0" w14:rev="0"/>
            </w14:lightRig>
          </w14:scene3d>
        </w:rPr>
        <w:t xml:space="preserve">4.2 </w:t>
      </w:r>
      <w:r>
        <w:rPr>
          <w:rStyle w:val="32"/>
          <w:rFonts w:hint="eastAsia"/>
        </w:rPr>
        <w:t xml:space="preserve"> 建设原则</w:t>
      </w:r>
      <w:r>
        <w:tab/>
      </w:r>
      <w:r>
        <w:fldChar w:fldCharType="begin"/>
      </w:r>
      <w:r>
        <w:instrText xml:space="preserve"> PAGEREF _Toc178153318 \h </w:instrText>
      </w:r>
      <w:r>
        <w:fldChar w:fldCharType="separate"/>
      </w:r>
      <w:r>
        <w:t>2</w:t>
      </w:r>
      <w:r>
        <w:fldChar w:fldCharType="end"/>
      </w:r>
      <w:r>
        <w:fldChar w:fldCharType="end"/>
      </w:r>
    </w:p>
    <w:p w14:paraId="35BEE099">
      <w:pPr>
        <w:pStyle w:val="24"/>
        <w:rPr>
          <w:rFonts w:asciiTheme="minorHAnsi" w:hAnsiTheme="minorHAnsi" w:eastAsiaTheme="minorEastAsia" w:cstheme="minorBidi"/>
          <w:szCs w:val="22"/>
        </w:rPr>
      </w:pPr>
      <w:r>
        <w:fldChar w:fldCharType="begin"/>
      </w:r>
      <w:r>
        <w:instrText xml:space="preserve"> HYPERLINK \l "_Toc178153319" </w:instrText>
      </w:r>
      <w:r>
        <w:fldChar w:fldCharType="separate"/>
      </w:r>
      <w:r>
        <w:rPr>
          <w:rStyle w:val="32"/>
          <w14:scene3d w14:prst="orthographicFront">
            <w14:lightRig w14:rig="threePt" w14:dir="t">
              <w14:rot w14:lat="0" w14:lon="0" w14:rev="0"/>
            </w14:lightRig>
          </w14:scene3d>
        </w:rPr>
        <w:t xml:space="preserve">4.3 </w:t>
      </w:r>
      <w:r>
        <w:rPr>
          <w:rStyle w:val="32"/>
          <w:rFonts w:hint="eastAsia"/>
        </w:rPr>
        <w:t xml:space="preserve"> 整体结构</w:t>
      </w:r>
      <w:r>
        <w:tab/>
      </w:r>
      <w:r>
        <w:fldChar w:fldCharType="begin"/>
      </w:r>
      <w:r>
        <w:instrText xml:space="preserve"> PAGEREF _Toc178153319 \h </w:instrText>
      </w:r>
      <w:r>
        <w:fldChar w:fldCharType="separate"/>
      </w:r>
      <w:r>
        <w:t>2</w:t>
      </w:r>
      <w:r>
        <w:fldChar w:fldCharType="end"/>
      </w:r>
      <w:r>
        <w:fldChar w:fldCharType="end"/>
      </w:r>
    </w:p>
    <w:p w14:paraId="2228A3E1">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"_Toc178153320" </w:instrText>
      </w:r>
      <w:r>
        <w:fldChar w:fldCharType="separate"/>
      </w:r>
      <w:r>
        <w:rPr>
          <w:rStyle w:val="32"/>
        </w:rPr>
        <w:t xml:space="preserve">5 </w:t>
      </w:r>
      <w:r>
        <w:rPr>
          <w:rStyle w:val="32"/>
          <w:rFonts w:hint="eastAsia"/>
        </w:rPr>
        <w:t xml:space="preserve"> 省级骨干水网</w:t>
      </w:r>
      <w:r>
        <w:tab/>
      </w:r>
      <w:r>
        <w:fldChar w:fldCharType="begin"/>
      </w:r>
      <w:r>
        <w:instrText xml:space="preserve"> PAGEREF _Toc178153320 \h </w:instrText>
      </w:r>
      <w:r>
        <w:fldChar w:fldCharType="separate"/>
      </w:r>
      <w:r>
        <w:t>3</w:t>
      </w:r>
      <w:r>
        <w:fldChar w:fldCharType="end"/>
      </w:r>
      <w:r>
        <w:fldChar w:fldCharType="end"/>
      </w:r>
    </w:p>
    <w:p w14:paraId="1F6EF213">
      <w:pPr>
        <w:pStyle w:val="24"/>
        <w:rPr>
          <w:rFonts w:asciiTheme="minorHAnsi" w:hAnsiTheme="minorHAnsi" w:eastAsiaTheme="minorEastAsia" w:cstheme="minorBidi"/>
          <w:szCs w:val="22"/>
        </w:rPr>
      </w:pPr>
      <w:r>
        <w:fldChar w:fldCharType="begin"/>
      </w:r>
      <w:r>
        <w:instrText xml:space="preserve"> HYPERLINK \l "_Toc178153321" </w:instrText>
      </w:r>
      <w:r>
        <w:fldChar w:fldCharType="separate"/>
      </w:r>
      <w:r>
        <w:rPr>
          <w:rStyle w:val="32"/>
          <w14:scene3d w14:prst="orthographicFront">
            <w14:lightRig w14:rig="threePt" w14:dir="t">
              <w14:rot w14:lat="0" w14:lon="0" w14:rev="0"/>
            </w14:lightRig>
          </w14:scene3d>
        </w:rPr>
        <w:t xml:space="preserve">5.1 </w:t>
      </w:r>
      <w:r>
        <w:rPr>
          <w:rStyle w:val="32"/>
          <w:rFonts w:hint="eastAsia"/>
        </w:rPr>
        <w:t xml:space="preserve"> 一般规定</w:t>
      </w:r>
      <w:r>
        <w:tab/>
      </w:r>
      <w:r>
        <w:fldChar w:fldCharType="begin"/>
      </w:r>
      <w:r>
        <w:instrText xml:space="preserve"> PAGEREF _Toc178153321 \h </w:instrText>
      </w:r>
      <w:r>
        <w:fldChar w:fldCharType="separate"/>
      </w:r>
      <w:r>
        <w:t>3</w:t>
      </w:r>
      <w:r>
        <w:fldChar w:fldCharType="end"/>
      </w:r>
      <w:r>
        <w:fldChar w:fldCharType="end"/>
      </w:r>
    </w:p>
    <w:p w14:paraId="56E9B915">
      <w:pPr>
        <w:pStyle w:val="24"/>
        <w:rPr>
          <w:rFonts w:asciiTheme="minorHAnsi" w:hAnsiTheme="minorHAnsi" w:eastAsiaTheme="minorEastAsia" w:cstheme="minorBidi"/>
          <w:szCs w:val="22"/>
        </w:rPr>
      </w:pPr>
      <w:r>
        <w:fldChar w:fldCharType="begin"/>
      </w:r>
      <w:r>
        <w:instrText xml:space="preserve"> HYPERLINK \l "_Toc178153322" </w:instrText>
      </w:r>
      <w:r>
        <w:fldChar w:fldCharType="separate"/>
      </w:r>
      <w:r>
        <w:rPr>
          <w:rStyle w:val="32"/>
          <w14:scene3d w14:prst="orthographicFront">
            <w14:lightRig w14:rig="threePt" w14:dir="t">
              <w14:rot w14:lat="0" w14:lon="0" w14:rev="0"/>
            </w14:lightRig>
          </w14:scene3d>
        </w:rPr>
        <w:t xml:space="preserve">5.2 </w:t>
      </w:r>
      <w:r>
        <w:rPr>
          <w:rStyle w:val="32"/>
          <w:rFonts w:hint="eastAsia"/>
        </w:rPr>
        <w:t xml:space="preserve"> 系统功能</w:t>
      </w:r>
      <w:r>
        <w:tab/>
      </w:r>
      <w:r>
        <w:fldChar w:fldCharType="begin"/>
      </w:r>
      <w:r>
        <w:instrText xml:space="preserve"> PAGEREF _Toc178153322 \h </w:instrText>
      </w:r>
      <w:r>
        <w:fldChar w:fldCharType="separate"/>
      </w:r>
      <w:r>
        <w:t>3</w:t>
      </w:r>
      <w:r>
        <w:fldChar w:fldCharType="end"/>
      </w:r>
      <w:r>
        <w:fldChar w:fldCharType="end"/>
      </w:r>
    </w:p>
    <w:p w14:paraId="37FA55DE">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"_Toc178153323" </w:instrText>
      </w:r>
      <w:r>
        <w:fldChar w:fldCharType="separate"/>
      </w:r>
      <w:r>
        <w:rPr>
          <w:rStyle w:val="32"/>
        </w:rPr>
        <w:t xml:space="preserve">6 </w:t>
      </w:r>
      <w:r>
        <w:rPr>
          <w:rStyle w:val="32"/>
          <w:rFonts w:hint="eastAsia"/>
        </w:rPr>
        <w:t xml:space="preserve"> 骨干调水工程</w:t>
      </w:r>
      <w:r>
        <w:tab/>
      </w:r>
      <w:r>
        <w:fldChar w:fldCharType="begin"/>
      </w:r>
      <w:r>
        <w:instrText xml:space="preserve"> PAGEREF _Toc178153323 \h </w:instrText>
      </w:r>
      <w:r>
        <w:fldChar w:fldCharType="separate"/>
      </w:r>
      <w:r>
        <w:t>5</w:t>
      </w:r>
      <w:r>
        <w:fldChar w:fldCharType="end"/>
      </w:r>
      <w:r>
        <w:fldChar w:fldCharType="end"/>
      </w:r>
    </w:p>
    <w:p w14:paraId="457BE30A">
      <w:pPr>
        <w:pStyle w:val="24"/>
        <w:rPr>
          <w:rFonts w:asciiTheme="minorHAnsi" w:hAnsiTheme="minorHAnsi" w:eastAsiaTheme="minorEastAsia" w:cstheme="minorBidi"/>
          <w:szCs w:val="22"/>
        </w:rPr>
      </w:pPr>
      <w:r>
        <w:fldChar w:fldCharType="begin"/>
      </w:r>
      <w:r>
        <w:instrText xml:space="preserve"> HYPERLINK \l "_Toc178153324" </w:instrText>
      </w:r>
      <w:r>
        <w:fldChar w:fldCharType="separate"/>
      </w:r>
      <w:r>
        <w:rPr>
          <w:rStyle w:val="32"/>
          <w14:scene3d w14:prst="orthographicFront">
            <w14:lightRig w14:rig="threePt" w14:dir="t">
              <w14:rot w14:lat="0" w14:lon="0" w14:rev="0"/>
            </w14:lightRig>
          </w14:scene3d>
        </w:rPr>
        <w:t xml:space="preserve">6.1 </w:t>
      </w:r>
      <w:r>
        <w:rPr>
          <w:rStyle w:val="32"/>
          <w:rFonts w:hint="eastAsia"/>
        </w:rPr>
        <w:t xml:space="preserve"> 一般规定</w:t>
      </w:r>
      <w:r>
        <w:tab/>
      </w:r>
      <w:r>
        <w:fldChar w:fldCharType="begin"/>
      </w:r>
      <w:r>
        <w:instrText xml:space="preserve"> PAGEREF _Toc178153324 \h </w:instrText>
      </w:r>
      <w:r>
        <w:fldChar w:fldCharType="separate"/>
      </w:r>
      <w:r>
        <w:t>5</w:t>
      </w:r>
      <w:r>
        <w:fldChar w:fldCharType="end"/>
      </w:r>
      <w:r>
        <w:fldChar w:fldCharType="end"/>
      </w:r>
    </w:p>
    <w:p w14:paraId="5CED59F2">
      <w:pPr>
        <w:pStyle w:val="24"/>
        <w:rPr>
          <w:rFonts w:asciiTheme="minorHAnsi" w:hAnsiTheme="minorHAnsi" w:eastAsiaTheme="minorEastAsia" w:cstheme="minorBidi"/>
          <w:szCs w:val="22"/>
        </w:rPr>
      </w:pPr>
      <w:r>
        <w:fldChar w:fldCharType="begin"/>
      </w:r>
      <w:r>
        <w:instrText xml:space="preserve"> HYPERLINK \l "_Toc178153325" </w:instrText>
      </w:r>
      <w:r>
        <w:fldChar w:fldCharType="separate"/>
      </w:r>
      <w:r>
        <w:rPr>
          <w:rStyle w:val="32"/>
          <w14:scene3d w14:prst="orthographicFront">
            <w14:lightRig w14:rig="threePt" w14:dir="t">
              <w14:rot w14:lat="0" w14:lon="0" w14:rev="0"/>
            </w14:lightRig>
          </w14:scene3d>
        </w:rPr>
        <w:t xml:space="preserve">6.2 </w:t>
      </w:r>
      <w:r>
        <w:rPr>
          <w:rStyle w:val="32"/>
          <w:rFonts w:hint="eastAsia"/>
        </w:rPr>
        <w:t xml:space="preserve"> 系统架构</w:t>
      </w:r>
      <w:r>
        <w:tab/>
      </w:r>
      <w:r>
        <w:fldChar w:fldCharType="begin"/>
      </w:r>
      <w:r>
        <w:instrText xml:space="preserve"> PAGEREF _Toc178153325 \h </w:instrText>
      </w:r>
      <w:r>
        <w:fldChar w:fldCharType="separate"/>
      </w:r>
      <w:r>
        <w:t>5</w:t>
      </w:r>
      <w:r>
        <w:fldChar w:fldCharType="end"/>
      </w:r>
      <w:r>
        <w:fldChar w:fldCharType="end"/>
      </w:r>
    </w:p>
    <w:p w14:paraId="4CDD7641">
      <w:pPr>
        <w:pStyle w:val="24"/>
        <w:rPr>
          <w:rFonts w:asciiTheme="minorHAnsi" w:hAnsiTheme="minorHAnsi" w:eastAsiaTheme="minorEastAsia" w:cstheme="minorBidi"/>
          <w:szCs w:val="22"/>
        </w:rPr>
      </w:pPr>
      <w:r>
        <w:fldChar w:fldCharType="begin"/>
      </w:r>
      <w:r>
        <w:instrText xml:space="preserve"> HYPERLINK \l "_Toc178153326" </w:instrText>
      </w:r>
      <w:r>
        <w:fldChar w:fldCharType="separate"/>
      </w:r>
      <w:r>
        <w:rPr>
          <w:rStyle w:val="32"/>
          <w14:scene3d w14:prst="orthographicFront">
            <w14:lightRig w14:rig="threePt" w14:dir="t">
              <w14:rot w14:lat="0" w14:lon="0" w14:rev="0"/>
            </w14:lightRig>
          </w14:scene3d>
        </w:rPr>
        <w:t xml:space="preserve">6.3 </w:t>
      </w:r>
      <w:r>
        <w:rPr>
          <w:rStyle w:val="32"/>
          <w:rFonts w:hint="eastAsia"/>
        </w:rPr>
        <w:t xml:space="preserve"> 控制系统</w:t>
      </w:r>
      <w:r>
        <w:tab/>
      </w:r>
      <w:r>
        <w:fldChar w:fldCharType="begin"/>
      </w:r>
      <w:r>
        <w:instrText xml:space="preserve"> PAGEREF _Toc178153326 \h </w:instrText>
      </w:r>
      <w:r>
        <w:fldChar w:fldCharType="separate"/>
      </w:r>
      <w:r>
        <w:t>5</w:t>
      </w:r>
      <w:r>
        <w:fldChar w:fldCharType="end"/>
      </w:r>
      <w:r>
        <w:fldChar w:fldCharType="end"/>
      </w:r>
    </w:p>
    <w:p w14:paraId="36A4380E">
      <w:pPr>
        <w:pStyle w:val="24"/>
        <w:rPr>
          <w:rFonts w:asciiTheme="minorHAnsi" w:hAnsiTheme="minorHAnsi" w:eastAsiaTheme="minorEastAsia" w:cstheme="minorBidi"/>
          <w:szCs w:val="22"/>
        </w:rPr>
      </w:pPr>
      <w:r>
        <w:fldChar w:fldCharType="begin"/>
      </w:r>
      <w:r>
        <w:instrText xml:space="preserve"> HYPERLINK \l "_Toc178153327" </w:instrText>
      </w:r>
      <w:r>
        <w:fldChar w:fldCharType="separate"/>
      </w:r>
      <w:r>
        <w:rPr>
          <w:rStyle w:val="32"/>
          <w14:scene3d w14:prst="orthographicFront">
            <w14:lightRig w14:rig="threePt" w14:dir="t">
              <w14:rot w14:lat="0" w14:lon="0" w14:rev="0"/>
            </w14:lightRig>
          </w14:scene3d>
        </w:rPr>
        <w:t xml:space="preserve">6.4 </w:t>
      </w:r>
      <w:r>
        <w:rPr>
          <w:rStyle w:val="32"/>
          <w:rFonts w:hint="eastAsia"/>
        </w:rPr>
        <w:t xml:space="preserve"> 业务系统</w:t>
      </w:r>
      <w:r>
        <w:tab/>
      </w:r>
      <w:r>
        <w:fldChar w:fldCharType="begin"/>
      </w:r>
      <w:r>
        <w:instrText xml:space="preserve"> PAGEREF _Toc178153327 \h </w:instrText>
      </w:r>
      <w:r>
        <w:fldChar w:fldCharType="separate"/>
      </w:r>
      <w:r>
        <w:t>6</w:t>
      </w:r>
      <w:r>
        <w:fldChar w:fldCharType="end"/>
      </w:r>
      <w:r>
        <w:fldChar w:fldCharType="end"/>
      </w:r>
    </w:p>
    <w:p w14:paraId="1263DA9B">
      <w:pPr>
        <w:pStyle w:val="24"/>
        <w:rPr>
          <w:rFonts w:asciiTheme="minorHAnsi" w:hAnsiTheme="minorHAnsi" w:eastAsiaTheme="minorEastAsia" w:cstheme="minorBidi"/>
          <w:szCs w:val="22"/>
        </w:rPr>
      </w:pPr>
      <w:r>
        <w:fldChar w:fldCharType="begin"/>
      </w:r>
      <w:r>
        <w:instrText xml:space="preserve"> HYPERLINK \l "_Toc178153328" </w:instrText>
      </w:r>
      <w:r>
        <w:fldChar w:fldCharType="separate"/>
      </w:r>
      <w:r>
        <w:rPr>
          <w:rStyle w:val="32"/>
          <w14:scene3d w14:prst="orthographicFront">
            <w14:lightRig w14:rig="threePt" w14:dir="t">
              <w14:rot w14:lat="0" w14:lon="0" w14:rev="0"/>
            </w14:lightRig>
          </w14:scene3d>
        </w:rPr>
        <w:t xml:space="preserve">6.5 </w:t>
      </w:r>
      <w:r>
        <w:rPr>
          <w:rStyle w:val="32"/>
          <w:rFonts w:hint="eastAsia"/>
        </w:rPr>
        <w:t xml:space="preserve"> 系统体系与环境</w:t>
      </w:r>
      <w:r>
        <w:tab/>
      </w:r>
      <w:r>
        <w:fldChar w:fldCharType="begin"/>
      </w:r>
      <w:r>
        <w:instrText xml:space="preserve"> PAGEREF _Toc178153328 \h </w:instrText>
      </w:r>
      <w:r>
        <w:fldChar w:fldCharType="separate"/>
      </w:r>
      <w:r>
        <w:t>7</w:t>
      </w:r>
      <w:r>
        <w:fldChar w:fldCharType="end"/>
      </w:r>
      <w:r>
        <w:fldChar w:fldCharType="end"/>
      </w:r>
    </w:p>
    <w:p w14:paraId="0A920A8F">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"_Toc178153329" </w:instrText>
      </w:r>
      <w:r>
        <w:fldChar w:fldCharType="separate"/>
      </w:r>
      <w:r>
        <w:rPr>
          <w:rStyle w:val="32"/>
        </w:rPr>
        <w:t xml:space="preserve">7 </w:t>
      </w:r>
      <w:r>
        <w:rPr>
          <w:rStyle w:val="32"/>
          <w:rFonts w:hint="eastAsia"/>
        </w:rPr>
        <w:t xml:space="preserve"> 典型站点</w:t>
      </w:r>
      <w:r>
        <w:tab/>
      </w:r>
      <w:r>
        <w:fldChar w:fldCharType="begin"/>
      </w:r>
      <w:r>
        <w:instrText xml:space="preserve"> PAGEREF _Toc178153329 \h </w:instrText>
      </w:r>
      <w:r>
        <w:fldChar w:fldCharType="separate"/>
      </w:r>
      <w:r>
        <w:t>9</w:t>
      </w:r>
      <w:r>
        <w:fldChar w:fldCharType="end"/>
      </w:r>
      <w:r>
        <w:fldChar w:fldCharType="end"/>
      </w:r>
    </w:p>
    <w:p w14:paraId="55B36CA3">
      <w:pPr>
        <w:pStyle w:val="24"/>
        <w:rPr>
          <w:rFonts w:asciiTheme="minorHAnsi" w:hAnsiTheme="minorHAnsi" w:eastAsiaTheme="minorEastAsia" w:cstheme="minorBidi"/>
          <w:szCs w:val="22"/>
        </w:rPr>
      </w:pPr>
      <w:r>
        <w:fldChar w:fldCharType="begin"/>
      </w:r>
      <w:r>
        <w:instrText xml:space="preserve"> HYPERLINK \l "_Toc178153330" </w:instrText>
      </w:r>
      <w:r>
        <w:fldChar w:fldCharType="separate"/>
      </w:r>
      <w:r>
        <w:rPr>
          <w:rStyle w:val="32"/>
          <w14:scene3d w14:prst="orthographicFront">
            <w14:lightRig w14:rig="threePt" w14:dir="t">
              <w14:rot w14:lat="0" w14:lon="0" w14:rev="0"/>
            </w14:lightRig>
          </w14:scene3d>
        </w:rPr>
        <w:t xml:space="preserve">7.1 </w:t>
      </w:r>
      <w:r>
        <w:rPr>
          <w:rStyle w:val="32"/>
          <w:rFonts w:hint="eastAsia"/>
        </w:rPr>
        <w:t xml:space="preserve"> 一般规定</w:t>
      </w:r>
      <w:r>
        <w:tab/>
      </w:r>
      <w:r>
        <w:fldChar w:fldCharType="begin"/>
      </w:r>
      <w:r>
        <w:instrText xml:space="preserve"> PAGEREF _Toc178153330 \h </w:instrText>
      </w:r>
      <w:r>
        <w:fldChar w:fldCharType="separate"/>
      </w:r>
      <w:r>
        <w:t>9</w:t>
      </w:r>
      <w:r>
        <w:fldChar w:fldCharType="end"/>
      </w:r>
      <w:r>
        <w:fldChar w:fldCharType="end"/>
      </w:r>
    </w:p>
    <w:p w14:paraId="325DBF53">
      <w:pPr>
        <w:pStyle w:val="24"/>
        <w:rPr>
          <w:rFonts w:asciiTheme="minorHAnsi" w:hAnsiTheme="minorHAnsi" w:eastAsiaTheme="minorEastAsia" w:cstheme="minorBidi"/>
          <w:szCs w:val="22"/>
        </w:rPr>
      </w:pPr>
      <w:r>
        <w:fldChar w:fldCharType="begin"/>
      </w:r>
      <w:r>
        <w:instrText xml:space="preserve"> HYPERLINK \l "_Toc178153331" </w:instrText>
      </w:r>
      <w:r>
        <w:fldChar w:fldCharType="separate"/>
      </w:r>
      <w:r>
        <w:rPr>
          <w:rStyle w:val="32"/>
          <w14:scene3d w14:prst="orthographicFront">
            <w14:lightRig w14:rig="threePt" w14:dir="t">
              <w14:rot w14:lat="0" w14:lon="0" w14:rev="0"/>
            </w14:lightRig>
          </w14:scene3d>
        </w:rPr>
        <w:t xml:space="preserve">7.2 </w:t>
      </w:r>
      <w:r>
        <w:rPr>
          <w:rStyle w:val="32"/>
          <w:rFonts w:hint="eastAsia"/>
        </w:rPr>
        <w:t xml:space="preserve"> 泵站</w:t>
      </w:r>
      <w:r>
        <w:tab/>
      </w:r>
      <w:r>
        <w:fldChar w:fldCharType="begin"/>
      </w:r>
      <w:r>
        <w:instrText xml:space="preserve"> PAGEREF _Toc178153331 \h </w:instrText>
      </w:r>
      <w:r>
        <w:fldChar w:fldCharType="separate"/>
      </w:r>
      <w:r>
        <w:t>9</w:t>
      </w:r>
      <w:r>
        <w:fldChar w:fldCharType="end"/>
      </w:r>
      <w:r>
        <w:fldChar w:fldCharType="end"/>
      </w:r>
    </w:p>
    <w:p w14:paraId="327C7AE3">
      <w:pPr>
        <w:pStyle w:val="24"/>
        <w:rPr>
          <w:rFonts w:asciiTheme="minorHAnsi" w:hAnsiTheme="minorHAnsi" w:eastAsiaTheme="minorEastAsia" w:cstheme="minorBidi"/>
          <w:szCs w:val="22"/>
        </w:rPr>
      </w:pPr>
      <w:r>
        <w:fldChar w:fldCharType="begin"/>
      </w:r>
      <w:r>
        <w:instrText xml:space="preserve"> HYPERLINK \l "_Toc178153332" </w:instrText>
      </w:r>
      <w:r>
        <w:fldChar w:fldCharType="separate"/>
      </w:r>
      <w:r>
        <w:rPr>
          <w:rStyle w:val="32"/>
          <w14:scene3d w14:prst="orthographicFront">
            <w14:lightRig w14:rig="threePt" w14:dir="t">
              <w14:rot w14:lat="0" w14:lon="0" w14:rev="0"/>
            </w14:lightRig>
          </w14:scene3d>
        </w:rPr>
        <w:t xml:space="preserve">7.3 </w:t>
      </w:r>
      <w:r>
        <w:rPr>
          <w:rStyle w:val="32"/>
          <w:rFonts w:hint="eastAsia"/>
        </w:rPr>
        <w:t xml:space="preserve"> 闸站</w:t>
      </w:r>
      <w:r>
        <w:tab/>
      </w:r>
      <w:r>
        <w:fldChar w:fldCharType="begin"/>
      </w:r>
      <w:r>
        <w:instrText xml:space="preserve"> PAGEREF _Toc178153332 \h </w:instrText>
      </w:r>
      <w:r>
        <w:fldChar w:fldCharType="separate"/>
      </w:r>
      <w:r>
        <w:t>10</w:t>
      </w:r>
      <w:r>
        <w:fldChar w:fldCharType="end"/>
      </w:r>
      <w:r>
        <w:fldChar w:fldCharType="end"/>
      </w:r>
    </w:p>
    <w:p w14:paraId="36ED1F0F">
      <w:pPr>
        <w:pStyle w:val="24"/>
        <w:rPr>
          <w:rFonts w:asciiTheme="minorHAnsi" w:hAnsiTheme="minorHAnsi" w:eastAsiaTheme="minorEastAsia" w:cstheme="minorBidi"/>
          <w:szCs w:val="22"/>
        </w:rPr>
      </w:pPr>
      <w:r>
        <w:fldChar w:fldCharType="begin"/>
      </w:r>
      <w:r>
        <w:instrText xml:space="preserve"> HYPERLINK \l "_Toc178153333" </w:instrText>
      </w:r>
      <w:r>
        <w:fldChar w:fldCharType="separate"/>
      </w:r>
      <w:r>
        <w:rPr>
          <w:rStyle w:val="32"/>
          <w14:scene3d w14:prst="orthographicFront">
            <w14:lightRig w14:rig="threePt" w14:dir="t">
              <w14:rot w14:lat="0" w14:lon="0" w14:rev="0"/>
            </w14:lightRig>
          </w14:scene3d>
        </w:rPr>
        <w:t xml:space="preserve">7.4 </w:t>
      </w:r>
      <w:r>
        <w:rPr>
          <w:rStyle w:val="32"/>
          <w:rFonts w:hint="eastAsia"/>
        </w:rPr>
        <w:t xml:space="preserve"> 其他</w:t>
      </w:r>
      <w:r>
        <w:tab/>
      </w:r>
      <w:r>
        <w:fldChar w:fldCharType="begin"/>
      </w:r>
      <w:r>
        <w:instrText xml:space="preserve"> PAGEREF _Toc178153333 \h </w:instrText>
      </w:r>
      <w:r>
        <w:fldChar w:fldCharType="separate"/>
      </w:r>
      <w:r>
        <w:t>10</w:t>
      </w:r>
      <w:r>
        <w:fldChar w:fldCharType="end"/>
      </w:r>
      <w:r>
        <w:fldChar w:fldCharType="end"/>
      </w:r>
    </w:p>
    <w:p w14:paraId="62005712">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"_Toc178153334" </w:instrText>
      </w:r>
      <w:r>
        <w:fldChar w:fldCharType="separate"/>
      </w:r>
      <w:r>
        <w:rPr>
          <w:rStyle w:val="32"/>
        </w:rPr>
        <w:t xml:space="preserve">8 </w:t>
      </w:r>
      <w:r>
        <w:rPr>
          <w:rStyle w:val="32"/>
          <w:rFonts w:hint="eastAsia"/>
        </w:rPr>
        <w:t xml:space="preserve"> 网络安全</w:t>
      </w:r>
      <w:r>
        <w:tab/>
      </w:r>
      <w:r>
        <w:fldChar w:fldCharType="begin"/>
      </w:r>
      <w:r>
        <w:instrText xml:space="preserve"> PAGEREF _Toc178153334 \h </w:instrText>
      </w:r>
      <w:r>
        <w:fldChar w:fldCharType="separate"/>
      </w:r>
      <w:r>
        <w:t>11</w:t>
      </w:r>
      <w:r>
        <w:fldChar w:fldCharType="end"/>
      </w:r>
      <w:r>
        <w:fldChar w:fldCharType="end"/>
      </w:r>
    </w:p>
    <w:p w14:paraId="00AED25A">
      <w:pPr>
        <w:pStyle w:val="24"/>
        <w:rPr>
          <w:rFonts w:asciiTheme="minorHAnsi" w:hAnsiTheme="minorHAnsi" w:eastAsiaTheme="minorEastAsia" w:cstheme="minorBidi"/>
          <w:szCs w:val="22"/>
        </w:rPr>
      </w:pPr>
      <w:r>
        <w:fldChar w:fldCharType="begin"/>
      </w:r>
      <w:r>
        <w:instrText xml:space="preserve"> HYPERLINK \l "_Toc178153335" </w:instrText>
      </w:r>
      <w:r>
        <w:fldChar w:fldCharType="separate"/>
      </w:r>
      <w:r>
        <w:rPr>
          <w:rStyle w:val="32"/>
          <w14:scene3d w14:prst="orthographicFront">
            <w14:lightRig w14:rig="threePt" w14:dir="t">
              <w14:rot w14:lat="0" w14:lon="0" w14:rev="0"/>
            </w14:lightRig>
          </w14:scene3d>
        </w:rPr>
        <w:t xml:space="preserve">8.1 </w:t>
      </w:r>
      <w:r>
        <w:rPr>
          <w:rStyle w:val="32"/>
          <w:rFonts w:hint="eastAsia"/>
        </w:rPr>
        <w:t xml:space="preserve"> 一般要求</w:t>
      </w:r>
      <w:r>
        <w:tab/>
      </w:r>
      <w:r>
        <w:fldChar w:fldCharType="begin"/>
      </w:r>
      <w:r>
        <w:instrText xml:space="preserve"> PAGEREF _Toc178153335 \h </w:instrText>
      </w:r>
      <w:r>
        <w:fldChar w:fldCharType="separate"/>
      </w:r>
      <w:r>
        <w:t>11</w:t>
      </w:r>
      <w:r>
        <w:fldChar w:fldCharType="end"/>
      </w:r>
      <w:r>
        <w:fldChar w:fldCharType="end"/>
      </w:r>
    </w:p>
    <w:p w14:paraId="6B93C5BF">
      <w:pPr>
        <w:pStyle w:val="24"/>
        <w:rPr>
          <w:rFonts w:asciiTheme="minorHAnsi" w:hAnsiTheme="minorHAnsi" w:eastAsiaTheme="minorEastAsia" w:cstheme="minorBidi"/>
          <w:szCs w:val="22"/>
        </w:rPr>
      </w:pPr>
      <w:r>
        <w:fldChar w:fldCharType="begin"/>
      </w:r>
      <w:r>
        <w:instrText xml:space="preserve"> HYPERLINK \l "_Toc178153336" </w:instrText>
      </w:r>
      <w:r>
        <w:fldChar w:fldCharType="separate"/>
      </w:r>
      <w:r>
        <w:rPr>
          <w:rStyle w:val="32"/>
          <w14:scene3d w14:prst="orthographicFront">
            <w14:lightRig w14:rig="threePt" w14:dir="t">
              <w14:rot w14:lat="0" w14:lon="0" w14:rev="0"/>
            </w14:lightRig>
          </w14:scene3d>
        </w:rPr>
        <w:t xml:space="preserve">8.2 </w:t>
      </w:r>
      <w:r>
        <w:rPr>
          <w:rStyle w:val="32"/>
          <w:rFonts w:hint="eastAsia"/>
        </w:rPr>
        <w:t xml:space="preserve"> 组织管理</w:t>
      </w:r>
      <w:r>
        <w:tab/>
      </w:r>
      <w:r>
        <w:fldChar w:fldCharType="begin"/>
      </w:r>
      <w:r>
        <w:instrText xml:space="preserve"> PAGEREF _Toc178153336 \h </w:instrText>
      </w:r>
      <w:r>
        <w:fldChar w:fldCharType="separate"/>
      </w:r>
      <w:r>
        <w:t>11</w:t>
      </w:r>
      <w:r>
        <w:fldChar w:fldCharType="end"/>
      </w:r>
      <w:r>
        <w:fldChar w:fldCharType="end"/>
      </w:r>
    </w:p>
    <w:p w14:paraId="37E9E6B3">
      <w:pPr>
        <w:pStyle w:val="24"/>
        <w:rPr>
          <w:rFonts w:asciiTheme="minorHAnsi" w:hAnsiTheme="minorHAnsi" w:eastAsiaTheme="minorEastAsia" w:cstheme="minorBidi"/>
          <w:szCs w:val="22"/>
        </w:rPr>
      </w:pPr>
      <w:r>
        <w:fldChar w:fldCharType="begin"/>
      </w:r>
      <w:r>
        <w:instrText xml:space="preserve"> HYPERLINK \l "_Toc178153337" </w:instrText>
      </w:r>
      <w:r>
        <w:fldChar w:fldCharType="separate"/>
      </w:r>
      <w:r>
        <w:rPr>
          <w:rStyle w:val="32"/>
          <w14:scene3d w14:prst="orthographicFront">
            <w14:lightRig w14:rig="threePt" w14:dir="t">
              <w14:rot w14:lat="0" w14:lon="0" w14:rev="0"/>
            </w14:lightRig>
          </w14:scene3d>
        </w:rPr>
        <w:t xml:space="preserve">8.3 </w:t>
      </w:r>
      <w:r>
        <w:rPr>
          <w:rStyle w:val="32"/>
          <w:rFonts w:hint="eastAsia"/>
        </w:rPr>
        <w:t xml:space="preserve"> 安全技术</w:t>
      </w:r>
      <w:r>
        <w:tab/>
      </w:r>
      <w:r>
        <w:fldChar w:fldCharType="begin"/>
      </w:r>
      <w:r>
        <w:instrText xml:space="preserve"> PAGEREF _Toc178153337 \h </w:instrText>
      </w:r>
      <w:r>
        <w:fldChar w:fldCharType="separate"/>
      </w:r>
      <w:r>
        <w:t>11</w:t>
      </w:r>
      <w:r>
        <w:fldChar w:fldCharType="end"/>
      </w:r>
      <w:r>
        <w:fldChar w:fldCharType="end"/>
      </w:r>
    </w:p>
    <w:p w14:paraId="12095CC7">
      <w:pPr>
        <w:pStyle w:val="24"/>
        <w:rPr>
          <w:rFonts w:asciiTheme="minorHAnsi" w:hAnsiTheme="minorHAnsi" w:eastAsiaTheme="minorEastAsia" w:cstheme="minorBidi"/>
          <w:szCs w:val="22"/>
        </w:rPr>
      </w:pPr>
      <w:r>
        <w:fldChar w:fldCharType="begin"/>
      </w:r>
      <w:r>
        <w:instrText xml:space="preserve"> HYPERLINK \l "_Toc178153338" </w:instrText>
      </w:r>
      <w:r>
        <w:fldChar w:fldCharType="separate"/>
      </w:r>
      <w:r>
        <w:rPr>
          <w:rStyle w:val="32"/>
          <w14:scene3d w14:prst="orthographicFront">
            <w14:lightRig w14:rig="threePt" w14:dir="t">
              <w14:rot w14:lat="0" w14:lon="0" w14:rev="0"/>
            </w14:lightRig>
          </w14:scene3d>
        </w:rPr>
        <w:t xml:space="preserve">8.4 </w:t>
      </w:r>
      <w:r>
        <w:rPr>
          <w:rStyle w:val="32"/>
          <w:rFonts w:hint="eastAsia"/>
        </w:rPr>
        <w:t xml:space="preserve"> 安全运营</w:t>
      </w:r>
      <w:r>
        <w:tab/>
      </w:r>
      <w:r>
        <w:fldChar w:fldCharType="begin"/>
      </w:r>
      <w:r>
        <w:instrText xml:space="preserve"> PAGEREF _Toc178153338 \h </w:instrText>
      </w:r>
      <w:r>
        <w:fldChar w:fldCharType="separate"/>
      </w:r>
      <w:r>
        <w:t>12</w:t>
      </w:r>
      <w:r>
        <w:fldChar w:fldCharType="end"/>
      </w:r>
      <w:r>
        <w:fldChar w:fldCharType="end"/>
      </w:r>
    </w:p>
    <w:p w14:paraId="1A8703AE">
      <w:pPr>
        <w:pStyle w:val="24"/>
        <w:rPr>
          <w:rFonts w:asciiTheme="minorHAnsi" w:hAnsiTheme="minorHAnsi" w:eastAsiaTheme="minorEastAsia" w:cstheme="minorBidi"/>
          <w:szCs w:val="22"/>
        </w:rPr>
      </w:pPr>
      <w:r>
        <w:fldChar w:fldCharType="begin"/>
      </w:r>
      <w:r>
        <w:instrText xml:space="preserve"> HYPERLINK \l "_Toc178153339" </w:instrText>
      </w:r>
      <w:r>
        <w:fldChar w:fldCharType="separate"/>
      </w:r>
      <w:r>
        <w:rPr>
          <w:rStyle w:val="32"/>
          <w14:scene3d w14:prst="orthographicFront">
            <w14:lightRig w14:rig="threePt" w14:dir="t">
              <w14:rot w14:lat="0" w14:lon="0" w14:rev="0"/>
            </w14:lightRig>
          </w14:scene3d>
        </w:rPr>
        <w:t xml:space="preserve">8.5 </w:t>
      </w:r>
      <w:r>
        <w:rPr>
          <w:rStyle w:val="32"/>
          <w:rFonts w:hint="eastAsia"/>
        </w:rPr>
        <w:t xml:space="preserve"> 监督检查</w:t>
      </w:r>
      <w:r>
        <w:tab/>
      </w:r>
      <w:r>
        <w:fldChar w:fldCharType="begin"/>
      </w:r>
      <w:r>
        <w:instrText xml:space="preserve"> PAGEREF _Toc178153339 \h </w:instrText>
      </w:r>
      <w:r>
        <w:fldChar w:fldCharType="separate"/>
      </w:r>
      <w:r>
        <w:t>13</w:t>
      </w:r>
      <w:r>
        <w:fldChar w:fldCharType="end"/>
      </w:r>
      <w:r>
        <w:fldChar w:fldCharType="end"/>
      </w:r>
    </w:p>
    <w:p w14:paraId="0563D0B4">
      <w:pPr>
        <w:pStyle w:val="24"/>
        <w:rPr>
          <w:rFonts w:asciiTheme="minorHAnsi" w:hAnsiTheme="minorHAnsi" w:eastAsiaTheme="minorEastAsia" w:cstheme="minorBidi"/>
          <w:szCs w:val="22"/>
        </w:rPr>
      </w:pPr>
      <w:r>
        <w:fldChar w:fldCharType="begin"/>
      </w:r>
      <w:r>
        <w:instrText xml:space="preserve"> HYPERLINK \l "_Toc178153340" </w:instrText>
      </w:r>
      <w:r>
        <w:fldChar w:fldCharType="separate"/>
      </w:r>
      <w:r>
        <w:rPr>
          <w:rStyle w:val="32"/>
          <w14:scene3d w14:prst="orthographicFront">
            <w14:lightRig w14:rig="threePt" w14:dir="t">
              <w14:rot w14:lat="0" w14:lon="0" w14:rev="0"/>
            </w14:lightRig>
          </w14:scene3d>
        </w:rPr>
        <w:t xml:space="preserve">8.6 </w:t>
      </w:r>
      <w:r>
        <w:rPr>
          <w:rStyle w:val="32"/>
          <w:rFonts w:hint="eastAsia"/>
        </w:rPr>
        <w:t xml:space="preserve"> 数据安全</w:t>
      </w:r>
      <w:r>
        <w:tab/>
      </w:r>
      <w:r>
        <w:fldChar w:fldCharType="begin"/>
      </w:r>
      <w:r>
        <w:instrText xml:space="preserve"> PAGEREF _Toc178153340 \h </w:instrText>
      </w:r>
      <w:r>
        <w:fldChar w:fldCharType="separate"/>
      </w:r>
      <w:r>
        <w:t>13</w:t>
      </w:r>
      <w:r>
        <w:fldChar w:fldCharType="end"/>
      </w:r>
      <w:r>
        <w:fldChar w:fldCharType="end"/>
      </w:r>
    </w:p>
    <w:p w14:paraId="16F57C28">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"_Toc178153341" </w:instrText>
      </w:r>
      <w:r>
        <w:fldChar w:fldCharType="separate"/>
      </w:r>
      <w:r>
        <w:rPr>
          <w:rStyle w:val="32"/>
        </w:rPr>
        <w:t xml:space="preserve">9 </w:t>
      </w:r>
      <w:r>
        <w:rPr>
          <w:rStyle w:val="32"/>
          <w:rFonts w:hint="eastAsia"/>
        </w:rPr>
        <w:t xml:space="preserve"> 保障体系</w:t>
      </w:r>
      <w:r>
        <w:tab/>
      </w:r>
      <w:r>
        <w:fldChar w:fldCharType="begin"/>
      </w:r>
      <w:r>
        <w:instrText xml:space="preserve"> PAGEREF _Toc178153341 \h </w:instrText>
      </w:r>
      <w:r>
        <w:fldChar w:fldCharType="separate"/>
      </w:r>
      <w:r>
        <w:t>13</w:t>
      </w:r>
      <w:r>
        <w:fldChar w:fldCharType="end"/>
      </w:r>
      <w:r>
        <w:fldChar w:fldCharType="end"/>
      </w:r>
    </w:p>
    <w:p w14:paraId="2E5BFA92">
      <w:pPr>
        <w:pStyle w:val="24"/>
        <w:rPr>
          <w:rFonts w:asciiTheme="minorHAnsi" w:hAnsiTheme="minorHAnsi" w:eastAsiaTheme="minorEastAsia" w:cstheme="minorBidi"/>
          <w:szCs w:val="22"/>
        </w:rPr>
      </w:pPr>
      <w:r>
        <w:fldChar w:fldCharType="begin"/>
      </w:r>
      <w:r>
        <w:instrText xml:space="preserve"> HYPERLINK \l "_Toc178153342" </w:instrText>
      </w:r>
      <w:r>
        <w:fldChar w:fldCharType="separate"/>
      </w:r>
      <w:r>
        <w:rPr>
          <w:rStyle w:val="32"/>
          <w14:scene3d w14:prst="orthographicFront">
            <w14:lightRig w14:rig="threePt" w14:dir="t">
              <w14:rot w14:lat="0" w14:lon="0" w14:rev="0"/>
            </w14:lightRig>
          </w14:scene3d>
        </w:rPr>
        <w:t xml:space="preserve">9.1 </w:t>
      </w:r>
      <w:r>
        <w:rPr>
          <w:rStyle w:val="32"/>
          <w:rFonts w:hint="eastAsia"/>
        </w:rPr>
        <w:t xml:space="preserve"> 标准规范</w:t>
      </w:r>
      <w:r>
        <w:tab/>
      </w:r>
      <w:r>
        <w:fldChar w:fldCharType="begin"/>
      </w:r>
      <w:r>
        <w:instrText xml:space="preserve"> PAGEREF _Toc178153342 \h </w:instrText>
      </w:r>
      <w:r>
        <w:fldChar w:fldCharType="separate"/>
      </w:r>
      <w:r>
        <w:t>13</w:t>
      </w:r>
      <w:r>
        <w:fldChar w:fldCharType="end"/>
      </w:r>
      <w:r>
        <w:fldChar w:fldCharType="end"/>
      </w:r>
    </w:p>
    <w:p w14:paraId="5FD69A85">
      <w:pPr>
        <w:pStyle w:val="24"/>
        <w:rPr>
          <w:rFonts w:asciiTheme="minorHAnsi" w:hAnsiTheme="minorHAnsi" w:eastAsiaTheme="minorEastAsia" w:cstheme="minorBidi"/>
          <w:szCs w:val="22"/>
        </w:rPr>
      </w:pPr>
      <w:r>
        <w:fldChar w:fldCharType="begin"/>
      </w:r>
      <w:r>
        <w:instrText xml:space="preserve"> HYPERLINK \l "_Toc178153343" </w:instrText>
      </w:r>
      <w:r>
        <w:fldChar w:fldCharType="separate"/>
      </w:r>
      <w:r>
        <w:rPr>
          <w:rStyle w:val="32"/>
          <w14:scene3d w14:prst="orthographicFront">
            <w14:lightRig w14:rig="threePt" w14:dir="t">
              <w14:rot w14:lat="0" w14:lon="0" w14:rev="0"/>
            </w14:lightRig>
          </w14:scene3d>
        </w:rPr>
        <w:t xml:space="preserve">9.2 </w:t>
      </w:r>
      <w:r>
        <w:rPr>
          <w:rStyle w:val="32"/>
          <w:rFonts w:hint="eastAsia"/>
        </w:rPr>
        <w:t xml:space="preserve"> 管理制度</w:t>
      </w:r>
      <w:r>
        <w:tab/>
      </w:r>
      <w:r>
        <w:fldChar w:fldCharType="begin"/>
      </w:r>
      <w:r>
        <w:instrText xml:space="preserve"> PAGEREF _Toc178153343 \h </w:instrText>
      </w:r>
      <w:r>
        <w:fldChar w:fldCharType="separate"/>
      </w:r>
      <w:r>
        <w:t>13</w:t>
      </w:r>
      <w:r>
        <w:fldChar w:fldCharType="end"/>
      </w:r>
      <w:r>
        <w:fldChar w:fldCharType="end"/>
      </w:r>
    </w:p>
    <w:p w14:paraId="219CC29B">
      <w:pPr>
        <w:pStyle w:val="24"/>
        <w:rPr>
          <w:rFonts w:asciiTheme="minorHAnsi" w:hAnsiTheme="minorHAnsi" w:eastAsiaTheme="minorEastAsia" w:cstheme="minorBidi"/>
          <w:szCs w:val="22"/>
        </w:rPr>
      </w:pPr>
      <w:r>
        <w:fldChar w:fldCharType="begin"/>
      </w:r>
      <w:r>
        <w:instrText xml:space="preserve"> HYPERLINK \l "_Toc178153344" </w:instrText>
      </w:r>
      <w:r>
        <w:fldChar w:fldCharType="separate"/>
      </w:r>
      <w:r>
        <w:rPr>
          <w:rStyle w:val="32"/>
          <w14:scene3d w14:prst="orthographicFront">
            <w14:lightRig w14:rig="threePt" w14:dir="t">
              <w14:rot w14:lat="0" w14:lon="0" w14:rev="0"/>
            </w14:lightRig>
          </w14:scene3d>
        </w:rPr>
        <w:t xml:space="preserve">9.3 </w:t>
      </w:r>
      <w:r>
        <w:rPr>
          <w:rStyle w:val="32"/>
          <w:rFonts w:hint="eastAsia"/>
        </w:rPr>
        <w:t xml:space="preserve"> 运维保障</w:t>
      </w:r>
      <w:r>
        <w:tab/>
      </w:r>
      <w:r>
        <w:fldChar w:fldCharType="begin"/>
      </w:r>
      <w:r>
        <w:instrText xml:space="preserve"> PAGEREF _Toc178153344 \h </w:instrText>
      </w:r>
      <w:r>
        <w:fldChar w:fldCharType="separate"/>
      </w:r>
      <w:r>
        <w:t>13</w:t>
      </w:r>
      <w:r>
        <w:fldChar w:fldCharType="end"/>
      </w:r>
      <w:r>
        <w:fldChar w:fldCharType="end"/>
      </w:r>
    </w:p>
    <w:p w14:paraId="1E6BC3B0">
      <w:pPr>
        <w:pStyle w:val="19"/>
        <w:tabs>
          <w:tab w:val="right" w:leader="dot" w:pos="9344"/>
        </w:tabs>
        <w:rPr>
          <w:rFonts w:asciiTheme="minorHAnsi" w:hAnsiTheme="minorHAnsi" w:eastAsiaTheme="minorEastAsia" w:cstheme="minorBidi"/>
          <w:szCs w:val="22"/>
        </w:rPr>
      </w:pPr>
      <w:r>
        <w:fldChar w:fldCharType="begin"/>
      </w:r>
      <w:r>
        <w:instrText xml:space="preserve"> HYPERLINK \l "_Toc178153345" </w:instrText>
      </w:r>
      <w:r>
        <w:fldChar w:fldCharType="separate"/>
      </w:r>
      <w:r>
        <w:rPr>
          <w:rStyle w:val="32"/>
          <w:rFonts w:hint="eastAsia"/>
        </w:rPr>
        <w:t>附录A （资料性）</w:t>
      </w:r>
      <w:r>
        <w:rPr>
          <w:rStyle w:val="32"/>
        </w:rPr>
        <w:t xml:space="preserve"> </w:t>
      </w:r>
      <w:r>
        <w:rPr>
          <w:rStyle w:val="32"/>
          <w:rFonts w:hint="eastAsia"/>
        </w:rPr>
        <w:t>骨干水网信息化建设过程表</w:t>
      </w:r>
      <w:r>
        <w:tab/>
      </w:r>
      <w:r>
        <w:fldChar w:fldCharType="begin"/>
      </w:r>
      <w:r>
        <w:instrText xml:space="preserve"> PAGEREF _Toc178153345 \h </w:instrText>
      </w:r>
      <w:r>
        <w:fldChar w:fldCharType="separate"/>
      </w:r>
      <w:r>
        <w:t>14</w:t>
      </w:r>
      <w:r>
        <w:fldChar w:fldCharType="end"/>
      </w:r>
      <w:r>
        <w:fldChar w:fldCharType="end"/>
      </w:r>
    </w:p>
    <w:p w14:paraId="1A90F24C">
      <w:pPr>
        <w:pStyle w:val="24"/>
        <w:rPr>
          <w:rFonts w:asciiTheme="minorHAnsi" w:hAnsiTheme="minorHAnsi" w:eastAsiaTheme="minorEastAsia" w:cstheme="minorBidi"/>
          <w:szCs w:val="22"/>
        </w:rPr>
      </w:pPr>
      <w:r>
        <w:fldChar w:fldCharType="begin"/>
      </w:r>
      <w:r>
        <w:instrText xml:space="preserve"> HYPERLINK \l "_Toc178153346" </w:instrText>
      </w:r>
      <w:r>
        <w:fldChar w:fldCharType="separate"/>
      </w:r>
      <w:r>
        <w:rPr>
          <w:rStyle w:val="32"/>
        </w:rPr>
        <w:t xml:space="preserve">A.1 </w:t>
      </w:r>
      <w:r>
        <w:rPr>
          <w:rStyle w:val="32"/>
          <w:rFonts w:hint="eastAsia"/>
        </w:rPr>
        <w:t xml:space="preserve"> 工程基础采集</w:t>
      </w:r>
      <w:r>
        <w:tab/>
      </w:r>
      <w:r>
        <w:fldChar w:fldCharType="begin"/>
      </w:r>
      <w:r>
        <w:instrText xml:space="preserve"> PAGEREF _Toc178153346 \h </w:instrText>
      </w:r>
      <w:r>
        <w:fldChar w:fldCharType="separate"/>
      </w:r>
      <w:r>
        <w:t>14</w:t>
      </w:r>
      <w:r>
        <w:fldChar w:fldCharType="end"/>
      </w:r>
      <w:r>
        <w:fldChar w:fldCharType="end"/>
      </w:r>
    </w:p>
    <w:p w14:paraId="24A4B1B6">
      <w:pPr>
        <w:pStyle w:val="24"/>
        <w:rPr>
          <w:rFonts w:asciiTheme="minorHAnsi" w:hAnsiTheme="minorHAnsi" w:eastAsiaTheme="minorEastAsia" w:cstheme="minorBidi"/>
          <w:szCs w:val="22"/>
        </w:rPr>
      </w:pPr>
      <w:r>
        <w:fldChar w:fldCharType="begin"/>
      </w:r>
      <w:r>
        <w:instrText xml:space="preserve"> HYPERLINK \l "_Toc178153347" </w:instrText>
      </w:r>
      <w:r>
        <w:fldChar w:fldCharType="separate"/>
      </w:r>
      <w:r>
        <w:rPr>
          <w:rStyle w:val="32"/>
        </w:rPr>
        <w:t xml:space="preserve">A.2 </w:t>
      </w:r>
      <w:r>
        <w:rPr>
          <w:rStyle w:val="32"/>
          <w:rFonts w:hint="eastAsia"/>
        </w:rPr>
        <w:t xml:space="preserve"> 水情监测采集表</w:t>
      </w:r>
      <w:r>
        <w:tab/>
      </w:r>
      <w:r>
        <w:fldChar w:fldCharType="begin"/>
      </w:r>
      <w:r>
        <w:instrText xml:space="preserve"> PAGEREF _Toc178153347 \h </w:instrText>
      </w:r>
      <w:r>
        <w:fldChar w:fldCharType="separate"/>
      </w:r>
      <w:r>
        <w:t>14</w:t>
      </w:r>
      <w:r>
        <w:fldChar w:fldCharType="end"/>
      </w:r>
      <w:r>
        <w:fldChar w:fldCharType="end"/>
      </w:r>
    </w:p>
    <w:p w14:paraId="7FADC1ED">
      <w:pPr>
        <w:pStyle w:val="24"/>
        <w:rPr>
          <w:rFonts w:asciiTheme="minorHAnsi" w:hAnsiTheme="minorHAnsi" w:eastAsiaTheme="minorEastAsia" w:cstheme="minorBidi"/>
          <w:szCs w:val="22"/>
        </w:rPr>
      </w:pPr>
      <w:r>
        <w:fldChar w:fldCharType="begin"/>
      </w:r>
      <w:r>
        <w:instrText xml:space="preserve"> HYPERLINK \l "_Toc178153348" </w:instrText>
      </w:r>
      <w:r>
        <w:fldChar w:fldCharType="separate"/>
      </w:r>
      <w:r>
        <w:rPr>
          <w:rStyle w:val="32"/>
        </w:rPr>
        <w:t xml:space="preserve">A.3 </w:t>
      </w:r>
      <w:r>
        <w:rPr>
          <w:rStyle w:val="32"/>
          <w:rFonts w:hint="eastAsia"/>
        </w:rPr>
        <w:t xml:space="preserve"> 工程（闸）设计参数采集表</w:t>
      </w:r>
      <w:r>
        <w:tab/>
      </w:r>
      <w:r>
        <w:fldChar w:fldCharType="begin"/>
      </w:r>
      <w:r>
        <w:instrText xml:space="preserve"> PAGEREF _Toc178153348 \h </w:instrText>
      </w:r>
      <w:r>
        <w:fldChar w:fldCharType="separate"/>
      </w:r>
      <w:r>
        <w:t>15</w:t>
      </w:r>
      <w:r>
        <w:fldChar w:fldCharType="end"/>
      </w:r>
      <w:r>
        <w:fldChar w:fldCharType="end"/>
      </w:r>
    </w:p>
    <w:p w14:paraId="129A826B">
      <w:pPr>
        <w:pStyle w:val="24"/>
        <w:rPr>
          <w:rFonts w:asciiTheme="minorHAnsi" w:hAnsiTheme="minorHAnsi" w:eastAsiaTheme="minorEastAsia" w:cstheme="minorBidi"/>
          <w:szCs w:val="22"/>
        </w:rPr>
      </w:pPr>
      <w:r>
        <w:fldChar w:fldCharType="begin"/>
      </w:r>
      <w:r>
        <w:instrText xml:space="preserve"> HYPERLINK \l "_Toc178153349" </w:instrText>
      </w:r>
      <w:r>
        <w:fldChar w:fldCharType="separate"/>
      </w:r>
      <w:r>
        <w:rPr>
          <w:rStyle w:val="32"/>
        </w:rPr>
        <w:t xml:space="preserve">A.4 </w:t>
      </w:r>
      <w:r>
        <w:rPr>
          <w:rStyle w:val="32"/>
          <w:rFonts w:hint="eastAsia"/>
        </w:rPr>
        <w:t xml:space="preserve"> 工程（泵）设计参数采集表</w:t>
      </w:r>
      <w:r>
        <w:tab/>
      </w:r>
      <w:r>
        <w:fldChar w:fldCharType="begin"/>
      </w:r>
      <w:r>
        <w:instrText xml:space="preserve"> PAGEREF _Toc178153349 \h </w:instrText>
      </w:r>
      <w:r>
        <w:fldChar w:fldCharType="separate"/>
      </w:r>
      <w:r>
        <w:t>15</w:t>
      </w:r>
      <w:r>
        <w:fldChar w:fldCharType="end"/>
      </w:r>
      <w:r>
        <w:fldChar w:fldCharType="end"/>
      </w:r>
    </w:p>
    <w:p w14:paraId="13286756">
      <w:pPr>
        <w:pStyle w:val="24"/>
        <w:rPr>
          <w:rFonts w:asciiTheme="minorHAnsi" w:hAnsiTheme="minorHAnsi" w:eastAsiaTheme="minorEastAsia" w:cstheme="minorBidi"/>
          <w:szCs w:val="22"/>
        </w:rPr>
      </w:pPr>
      <w:r>
        <w:fldChar w:fldCharType="begin"/>
      </w:r>
      <w:r>
        <w:instrText xml:space="preserve"> HYPERLINK \l "_Toc178153350" </w:instrText>
      </w:r>
      <w:r>
        <w:fldChar w:fldCharType="separate"/>
      </w:r>
      <w:r>
        <w:rPr>
          <w:rStyle w:val="32"/>
        </w:rPr>
        <w:t xml:space="preserve">A.5 </w:t>
      </w:r>
      <w:r>
        <w:rPr>
          <w:rStyle w:val="32"/>
          <w:rFonts w:hint="eastAsia"/>
        </w:rPr>
        <w:t xml:space="preserve"> 设备信息点表</w:t>
      </w:r>
      <w:r>
        <w:tab/>
      </w:r>
      <w:r>
        <w:fldChar w:fldCharType="begin"/>
      </w:r>
      <w:r>
        <w:instrText xml:space="preserve"> PAGEREF _Toc178153350 \h </w:instrText>
      </w:r>
      <w:r>
        <w:fldChar w:fldCharType="separate"/>
      </w:r>
      <w:r>
        <w:t>16</w:t>
      </w:r>
      <w:r>
        <w:fldChar w:fldCharType="end"/>
      </w:r>
      <w:r>
        <w:fldChar w:fldCharType="end"/>
      </w:r>
    </w:p>
    <w:p w14:paraId="7F56D46F">
      <w:pPr>
        <w:pStyle w:val="24"/>
        <w:rPr>
          <w:rFonts w:asciiTheme="minorHAnsi" w:hAnsiTheme="minorHAnsi" w:eastAsiaTheme="minorEastAsia" w:cstheme="minorBidi"/>
          <w:szCs w:val="22"/>
        </w:rPr>
      </w:pPr>
      <w:r>
        <w:fldChar w:fldCharType="begin"/>
      </w:r>
      <w:r>
        <w:instrText xml:space="preserve"> HYPERLINK \l "_Toc178153351" </w:instrText>
      </w:r>
      <w:r>
        <w:fldChar w:fldCharType="separate"/>
      </w:r>
      <w:r>
        <w:rPr>
          <w:rStyle w:val="32"/>
        </w:rPr>
        <w:t xml:space="preserve">A.6 </w:t>
      </w:r>
      <w:r>
        <w:rPr>
          <w:rStyle w:val="32"/>
          <w:rFonts w:hint="eastAsia"/>
        </w:rPr>
        <w:t xml:space="preserve"> 变量信息点表</w:t>
      </w:r>
      <w:r>
        <w:tab/>
      </w:r>
      <w:r>
        <w:fldChar w:fldCharType="begin"/>
      </w:r>
      <w:r>
        <w:instrText xml:space="preserve"> PAGEREF _Toc178153351 \h </w:instrText>
      </w:r>
      <w:r>
        <w:fldChar w:fldCharType="separate"/>
      </w:r>
      <w:r>
        <w:t>16</w:t>
      </w:r>
      <w:r>
        <w:fldChar w:fldCharType="end"/>
      </w:r>
      <w:r>
        <w:fldChar w:fldCharType="end"/>
      </w:r>
    </w:p>
    <w:p w14:paraId="760D34D3">
      <w:pPr>
        <w:pStyle w:val="91"/>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18"/>
    <w:p w14:paraId="791F5180">
      <w:pPr>
        <w:pStyle w:val="89"/>
        <w:spacing w:after="468"/>
      </w:pPr>
      <w:bookmarkStart w:id="23" w:name="_Toc178153312"/>
      <w:bookmarkStart w:id="24" w:name="BookMark2"/>
      <w:r>
        <w:rPr>
          <w:spacing w:val="320"/>
        </w:rPr>
        <w:t>前</w:t>
      </w:r>
      <w:r>
        <w:t>言</w:t>
      </w:r>
      <w:bookmarkEnd w:id="19"/>
      <w:bookmarkEnd w:id="20"/>
      <w:bookmarkEnd w:id="21"/>
      <w:bookmarkEnd w:id="22"/>
      <w:bookmarkEnd w:id="23"/>
    </w:p>
    <w:p w14:paraId="6B14BB3E">
      <w:pPr>
        <w:pStyle w:val="56"/>
        <w:ind w:firstLine="420"/>
      </w:pPr>
      <w:r>
        <w:rPr>
          <w:rFonts w:hint="eastAsia"/>
        </w:rPr>
        <w:t>本文件按照GB/T 1.1—2020《标准化工作导则  第1部分：标准化文件的结构和起草规则》的规定起草。</w:t>
      </w:r>
    </w:p>
    <w:p w14:paraId="2950CF47">
      <w:pPr>
        <w:pStyle w:val="56"/>
        <w:ind w:firstLine="420"/>
      </w:pPr>
      <w:r>
        <w:rPr>
          <w:rFonts w:hint="eastAsia"/>
        </w:rPr>
        <w:t>请注意本文件的某些内容可能涉及专利。本文件的发布机构不承担识别专利的责任。</w:t>
      </w:r>
    </w:p>
    <w:p w14:paraId="1A6D3E46">
      <w:pPr>
        <w:pStyle w:val="56"/>
        <w:ind w:firstLine="420"/>
      </w:pPr>
      <w:r>
        <w:rPr>
          <w:rFonts w:hint="eastAsia"/>
        </w:rPr>
        <w:t>本文件由山东省水利厅提出、归口并组织实施。</w:t>
      </w:r>
    </w:p>
    <w:p w14:paraId="4FFC7F1C">
      <w:pPr>
        <w:pStyle w:val="56"/>
        <w:ind w:firstLine="420"/>
      </w:pPr>
    </w:p>
    <w:p w14:paraId="55275EF5">
      <w:pPr>
        <w:pStyle w:val="56"/>
        <w:ind w:firstLine="420"/>
        <w:sectPr>
          <w:pgSz w:w="11906" w:h="16838"/>
          <w:pgMar w:top="567" w:right="1134" w:bottom="1134" w:left="1134" w:header="1418" w:footer="1134" w:gutter="284"/>
          <w:pgNumType w:fmt="upperRoman"/>
          <w:cols w:space="425" w:num="1"/>
          <w:formProt w:val="0"/>
          <w:docGrid w:type="lines" w:linePitch="312" w:charSpace="0"/>
        </w:sectPr>
      </w:pPr>
    </w:p>
    <w:bookmarkEnd w:id="24"/>
    <w:p w14:paraId="18CF6A5C">
      <w:pPr>
        <w:spacing w:line="20" w:lineRule="exact"/>
        <w:jc w:val="center"/>
        <w:rPr>
          <w:rFonts w:ascii="黑体" w:hAnsi="黑体" w:eastAsia="黑体"/>
          <w:sz w:val="32"/>
          <w:szCs w:val="32"/>
        </w:rPr>
      </w:pPr>
      <w:bookmarkStart w:id="25" w:name="BookMark4"/>
    </w:p>
    <w:p w14:paraId="7A9C2426">
      <w:pPr>
        <w:spacing w:line="20" w:lineRule="exact"/>
        <w:jc w:val="center"/>
        <w:rPr>
          <w:rFonts w:ascii="黑体" w:hAnsi="黑体" w:eastAsia="黑体"/>
          <w:sz w:val="32"/>
          <w:szCs w:val="32"/>
        </w:rPr>
      </w:pPr>
    </w:p>
    <w:sdt>
      <w:sdtPr>
        <w:tag w:val="NEW_STAND_NAME"/>
        <w:id w:val="595910757"/>
        <w:lock w:val="sdtLocked"/>
        <w:placeholder>
          <w:docPart w:val="021382BEB6334716A3C4C81BC1FFB301"/>
        </w:placeholder>
      </w:sdtPr>
      <w:sdtContent>
        <w:p w14:paraId="0AAB16D3">
          <w:pPr>
            <w:pStyle w:val="177"/>
            <w:spacing w:before="3" w:beforeLines="1" w:after="686" w:afterLines="220"/>
          </w:pPr>
          <w:bookmarkStart w:id="26" w:name="NEW_STAND_NAME"/>
          <w:r>
            <w:rPr>
              <w:rFonts w:hint="eastAsia"/>
            </w:rPr>
            <w:t>骨干水网调度信息化建设技术导则</w:t>
          </w:r>
        </w:p>
      </w:sdtContent>
    </w:sdt>
    <w:bookmarkEnd w:id="26"/>
    <w:p w14:paraId="23597E76">
      <w:pPr>
        <w:pStyle w:val="104"/>
        <w:spacing w:before="312" w:after="312"/>
      </w:pPr>
      <w:bookmarkStart w:id="27" w:name="_Toc24884218"/>
      <w:bookmarkStart w:id="28" w:name="_Toc176870919"/>
      <w:bookmarkStart w:id="29" w:name="_Toc177197727"/>
      <w:bookmarkStart w:id="30" w:name="_Toc176866749"/>
      <w:bookmarkStart w:id="31" w:name="_Toc178153313"/>
      <w:bookmarkStart w:id="32" w:name="_Toc24884211"/>
      <w:bookmarkStart w:id="33" w:name="_Toc17233325"/>
      <w:bookmarkStart w:id="34" w:name="_Toc26718930"/>
      <w:bookmarkStart w:id="35" w:name="_Toc176869209"/>
      <w:bookmarkStart w:id="36" w:name="_Toc26648465"/>
      <w:bookmarkStart w:id="37" w:name="_Toc26986530"/>
      <w:bookmarkStart w:id="38" w:name="_Toc17233333"/>
      <w:bookmarkStart w:id="39" w:name="_Toc26986771"/>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1FD424CF">
      <w:pPr>
        <w:pStyle w:val="56"/>
        <w:ind w:firstLine="420"/>
      </w:pPr>
      <w:bookmarkStart w:id="40" w:name="_Toc17233326"/>
      <w:bookmarkStart w:id="41" w:name="_Toc17233334"/>
      <w:bookmarkStart w:id="42" w:name="_Toc24884212"/>
      <w:bookmarkStart w:id="43" w:name="_Toc24884219"/>
      <w:bookmarkStart w:id="44" w:name="_Toc26648466"/>
      <w:r>
        <w:rPr>
          <w:rFonts w:hint="eastAsia"/>
        </w:rPr>
        <w:t>本文件规定了山东省级骨干水网、骨干调水工程、典型站点三个层级方面的工程调度信息化系统建设内容与规则。</w:t>
      </w:r>
    </w:p>
    <w:p w14:paraId="778D6A06">
      <w:pPr>
        <w:pStyle w:val="56"/>
        <w:ind w:firstLine="420"/>
      </w:pPr>
      <w:r>
        <w:rPr>
          <w:rFonts w:hint="eastAsia"/>
        </w:rPr>
        <w:t>本文件适用于山东省内的骨干水网工程调度信息化系统建设，其他有联合调度控制需求的工程参照使用。</w:t>
      </w:r>
    </w:p>
    <w:p w14:paraId="6BF4F330">
      <w:pPr>
        <w:pStyle w:val="104"/>
        <w:spacing w:before="312" w:after="312"/>
      </w:pPr>
      <w:bookmarkStart w:id="45" w:name="_Toc177197728"/>
      <w:bookmarkStart w:id="46" w:name="_Toc26718931"/>
      <w:bookmarkStart w:id="47" w:name="_Toc176870920"/>
      <w:bookmarkStart w:id="48" w:name="_Toc26986531"/>
      <w:bookmarkStart w:id="49" w:name="_Toc178153314"/>
      <w:bookmarkStart w:id="50" w:name="_Toc176869210"/>
      <w:bookmarkStart w:id="51" w:name="_Toc176866750"/>
      <w:bookmarkStart w:id="52" w:name="_Toc2698677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2210F4A9D9514149AC47FA0AB2C24B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4F53A2B">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0F76027">
      <w:pPr>
        <w:pStyle w:val="56"/>
        <w:ind w:firstLine="420"/>
      </w:pPr>
      <w:r>
        <w:rPr>
          <w:rFonts w:hint="eastAsia"/>
        </w:rPr>
        <w:t>GB/T 28714　取水计量技术导则</w:t>
      </w:r>
    </w:p>
    <w:p w14:paraId="4DD33DCD">
      <w:pPr>
        <w:pStyle w:val="56"/>
        <w:ind w:firstLine="420"/>
      </w:pPr>
      <w:r>
        <w:rPr>
          <w:rFonts w:hint="eastAsia"/>
        </w:rPr>
        <w:t>GB/T 39786  信息安全技术　信息系统密码应用基本要求</w:t>
      </w:r>
    </w:p>
    <w:p w14:paraId="4098A13E">
      <w:pPr>
        <w:pStyle w:val="56"/>
        <w:ind w:firstLine="420"/>
      </w:pPr>
      <w:r>
        <w:rPr>
          <w:rFonts w:hint="eastAsia"/>
        </w:rPr>
        <w:t>GB/T 50138  水位观测标准</w:t>
      </w:r>
    </w:p>
    <w:p w14:paraId="73D4EE09">
      <w:pPr>
        <w:pStyle w:val="56"/>
        <w:ind w:firstLine="420"/>
      </w:pPr>
      <w:r>
        <w:rPr>
          <w:rFonts w:hint="eastAsia"/>
        </w:rPr>
        <w:t>GB/T 50159  河流悬移质泥沙测验规范</w:t>
      </w:r>
    </w:p>
    <w:p w14:paraId="76092715">
      <w:pPr>
        <w:pStyle w:val="56"/>
        <w:ind w:firstLine="420"/>
      </w:pPr>
      <w:r>
        <w:rPr>
          <w:rFonts w:hint="eastAsia"/>
        </w:rPr>
        <w:t xml:space="preserve">GB 50179  河流流量测验规范 </w:t>
      </w:r>
    </w:p>
    <w:p w14:paraId="6765A290">
      <w:pPr>
        <w:pStyle w:val="56"/>
        <w:ind w:firstLine="420"/>
      </w:pPr>
      <w:r>
        <w:rPr>
          <w:rFonts w:hint="eastAsia"/>
        </w:rPr>
        <w:t>CJ/T 122　超声多普勒流量计</w:t>
      </w:r>
    </w:p>
    <w:p w14:paraId="47952CDB">
      <w:pPr>
        <w:pStyle w:val="56"/>
        <w:ind w:firstLine="420"/>
      </w:pPr>
      <w:r>
        <w:rPr>
          <w:rFonts w:hint="eastAsia"/>
        </w:rPr>
        <w:t>SL 21  降水量观测规范</w:t>
      </w:r>
    </w:p>
    <w:p w14:paraId="25F53D80">
      <w:pPr>
        <w:pStyle w:val="56"/>
        <w:ind w:firstLine="420"/>
      </w:pPr>
      <w:r>
        <w:rPr>
          <w:rFonts w:hint="eastAsia"/>
        </w:rPr>
        <w:t>SL 34  水文站网规划技术导则</w:t>
      </w:r>
    </w:p>
    <w:p w14:paraId="5484916D">
      <w:pPr>
        <w:pStyle w:val="56"/>
        <w:ind w:firstLine="420"/>
      </w:pPr>
      <w:r>
        <w:rPr>
          <w:rFonts w:hint="eastAsia"/>
        </w:rPr>
        <w:t>SL 219  水环境监测规范</w:t>
      </w:r>
    </w:p>
    <w:p w14:paraId="018BA09D">
      <w:pPr>
        <w:pStyle w:val="56"/>
        <w:ind w:firstLine="420"/>
      </w:pPr>
      <w:r>
        <w:rPr>
          <w:rFonts w:hint="eastAsia"/>
        </w:rPr>
        <w:t xml:space="preserve">SL 339  水库水文泥沙观测规范 </w:t>
      </w:r>
    </w:p>
    <w:p w14:paraId="5D2DA0BF">
      <w:pPr>
        <w:pStyle w:val="56"/>
        <w:ind w:firstLine="420"/>
      </w:pPr>
      <w:r>
        <w:rPr>
          <w:rFonts w:hint="eastAsia"/>
        </w:rPr>
        <w:t>SL 551  土石坝安全</w:t>
      </w:r>
      <w:r>
        <w:rPr>
          <w:rFonts w:hint="eastAsia"/>
          <w:strike/>
        </w:rPr>
        <w:t>监</w:t>
      </w:r>
      <w:r>
        <w:rPr>
          <w:rFonts w:hint="eastAsia"/>
        </w:rPr>
        <w:t>测技术规范</w:t>
      </w:r>
    </w:p>
    <w:p w14:paraId="749B0B2D">
      <w:pPr>
        <w:pStyle w:val="56"/>
        <w:ind w:firstLine="420"/>
      </w:pPr>
      <w:r>
        <w:rPr>
          <w:rFonts w:hint="eastAsia"/>
        </w:rPr>
        <w:t>SL 601  混凝土坝安全监测技术规范</w:t>
      </w:r>
    </w:p>
    <w:p w14:paraId="4A666EEE">
      <w:pPr>
        <w:pStyle w:val="56"/>
        <w:ind w:firstLine="420"/>
      </w:pPr>
      <w:r>
        <w:rPr>
          <w:rFonts w:hint="eastAsia"/>
        </w:rPr>
        <w:t>SL 725  水利水电工程安全监测设计规范</w:t>
      </w:r>
    </w:p>
    <w:p w14:paraId="28F62331">
      <w:pPr>
        <w:pStyle w:val="56"/>
        <w:ind w:firstLine="420"/>
      </w:pPr>
      <w:r>
        <w:rPr>
          <w:rFonts w:hint="eastAsia"/>
        </w:rPr>
        <w:t>SL 766  大坝安全监测系统鉴定技术规范</w:t>
      </w:r>
    </w:p>
    <w:p w14:paraId="0C8ADDA3">
      <w:pPr>
        <w:pStyle w:val="56"/>
        <w:ind w:firstLine="420"/>
      </w:pPr>
      <w:r>
        <w:rPr>
          <w:rFonts w:hint="eastAsia"/>
        </w:rPr>
        <w:t>SL 768  水闸安全监测技术规范</w:t>
      </w:r>
    </w:p>
    <w:p w14:paraId="5A3258F3">
      <w:pPr>
        <w:pStyle w:val="56"/>
        <w:ind w:firstLine="420"/>
      </w:pPr>
      <w:r>
        <w:rPr>
          <w:rFonts w:hint="eastAsia"/>
        </w:rPr>
        <w:t>SL/T 803  水利网络安全保护技术规范</w:t>
      </w:r>
    </w:p>
    <w:p w14:paraId="325574A6">
      <w:pPr>
        <w:pStyle w:val="56"/>
        <w:ind w:firstLine="420"/>
      </w:pPr>
      <w:r>
        <w:rPr>
          <w:rFonts w:hint="eastAsia"/>
        </w:rPr>
        <w:t>SL/T 809  水利对象基础数据库表结构及标识符</w:t>
      </w:r>
    </w:p>
    <w:p w14:paraId="7A6DC256">
      <w:pPr>
        <w:pStyle w:val="104"/>
        <w:spacing w:before="312" w:after="312"/>
      </w:pPr>
      <w:bookmarkStart w:id="53" w:name="_Toc176870921"/>
      <w:bookmarkStart w:id="54" w:name="_Toc176866751"/>
      <w:bookmarkStart w:id="55" w:name="_Toc177197729"/>
      <w:bookmarkStart w:id="56" w:name="_Toc178153315"/>
      <w:bookmarkStart w:id="57" w:name="_Toc176869211"/>
      <w:r>
        <w:rPr>
          <w:rFonts w:hint="eastAsia"/>
          <w:szCs w:val="21"/>
        </w:rPr>
        <w:t>术语和定义</w:t>
      </w:r>
      <w:bookmarkEnd w:id="53"/>
      <w:bookmarkEnd w:id="54"/>
      <w:bookmarkEnd w:id="55"/>
      <w:bookmarkEnd w:id="56"/>
      <w:bookmarkEnd w:id="57"/>
    </w:p>
    <w:sdt>
      <w:sdtPr>
        <w:id w:val="-1909835108"/>
        <w:placeholder>
          <w:docPart w:val="B6C04ECD658C4D36A0E55EFDD044BEC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D73BD3D">
          <w:pPr>
            <w:pStyle w:val="56"/>
            <w:ind w:firstLine="420"/>
          </w:pPr>
          <w:bookmarkStart w:id="58" w:name="_Toc26986532"/>
          <w:bookmarkEnd w:id="58"/>
          <w:r>
            <w:t>下列术语和定义适用于本文件。</w:t>
          </w:r>
        </w:p>
      </w:sdtContent>
    </w:sdt>
    <w:p w14:paraId="5F84A96F">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干涉式合成孔径雷达  interferometric synthetic aperture radar</w:t>
      </w:r>
    </w:p>
    <w:p w14:paraId="33D424F3">
      <w:pPr>
        <w:pStyle w:val="56"/>
        <w:ind w:firstLine="420"/>
        <w:rPr>
          <w:rFonts w:hAnsi="宋体"/>
        </w:rPr>
      </w:pPr>
      <w:r>
        <w:rPr>
          <w:rFonts w:hint="eastAsia" w:hAnsi="宋体"/>
        </w:rPr>
        <w:t>一种应用于测绘和遥感的雷达技术。</w:t>
      </w:r>
    </w:p>
    <w:p w14:paraId="1CC704E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窄带物联网  narrow band internet of things</w:t>
      </w:r>
    </w:p>
    <w:p w14:paraId="287C285F">
      <w:pPr>
        <w:pStyle w:val="56"/>
        <w:ind w:firstLine="420"/>
      </w:pPr>
      <w:r>
        <w:rPr>
          <w:rFonts w:hint="eastAsia"/>
        </w:rPr>
        <w:t>一种基于蜂窝的支持低功耗设备在广域网的蜂窝数据连接。</w:t>
      </w:r>
    </w:p>
    <w:p w14:paraId="188F1E96">
      <w:pPr>
        <w:pStyle w:val="179"/>
      </w:pPr>
      <w:r>
        <w:rPr>
          <w:rFonts w:hint="eastAsia"/>
        </w:rPr>
        <w:t>窄带物联网是万物互联网络的一个重要分支。</w:t>
      </w:r>
    </w:p>
    <w:p w14:paraId="799B1D8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数据底板  data backplane</w:t>
      </w:r>
    </w:p>
    <w:p w14:paraId="592E79BA">
      <w:pPr>
        <w:pStyle w:val="56"/>
        <w:ind w:firstLine="420"/>
      </w:pPr>
      <w:r>
        <w:rPr>
          <w:rFonts w:hint="eastAsia"/>
        </w:rPr>
        <w:t>在特定领域或项目中为实现数据的统一管理、共享和应用建立的一个基础性的数据集合或数据库。</w:t>
      </w:r>
    </w:p>
    <w:p w14:paraId="5888B641">
      <w:pPr>
        <w:pStyle w:val="179"/>
      </w:pPr>
      <w:r>
        <w:rPr>
          <w:rFonts w:hint="eastAsia"/>
        </w:rPr>
        <w:t>数据底板通常包含了该领域或项目所需的基础数据、地理空间数据等，为上层应用提供数据支持。</w:t>
      </w:r>
    </w:p>
    <w:p w14:paraId="1A4B315E">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知识库  knowledge base</w:t>
      </w:r>
    </w:p>
    <w:p w14:paraId="723A8DE5">
      <w:pPr>
        <w:pStyle w:val="56"/>
        <w:ind w:firstLine="420"/>
      </w:pPr>
      <w:r>
        <w:rPr>
          <w:rFonts w:hint="eastAsia"/>
        </w:rPr>
        <w:t>一种包含规则所联系的事实及数据、专家系统设计所应用的规则集合或具有咨询性质的知识库。</w:t>
      </w:r>
    </w:p>
    <w:p w14:paraId="5F9CB56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模型库  model base</w:t>
      </w:r>
    </w:p>
    <w:p w14:paraId="666BF5FD">
      <w:pPr>
        <w:pStyle w:val="56"/>
        <w:ind w:firstLine="420"/>
      </w:pPr>
      <w:r>
        <w:rPr>
          <w:rFonts w:hint="eastAsia"/>
        </w:rPr>
        <w:t xml:space="preserve">一种长期存在于计算机内的、有组织的、可共享的模型的元素集合。 </w:t>
      </w:r>
    </w:p>
    <w:p w14:paraId="054DB29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消息队列遥测传输  message queuing telemetry transport</w:t>
      </w:r>
    </w:p>
    <w:p w14:paraId="22AAAE40">
      <w:pPr>
        <w:pStyle w:val="56"/>
        <w:ind w:firstLine="420"/>
      </w:pPr>
      <w:r>
        <w:rPr>
          <w:rFonts w:hint="eastAsia"/>
        </w:rPr>
        <w:t>一种ISO标准(ISO/IEC PRF 20922)下基于发布/订阅范式工作在 TCP/IP协议族上的消息协议。</w:t>
      </w:r>
    </w:p>
    <w:p w14:paraId="12F5E139">
      <w:pPr>
        <w:pStyle w:val="179"/>
      </w:pPr>
      <w:r>
        <w:rPr>
          <w:rFonts w:hint="eastAsia"/>
        </w:rPr>
        <w:t>MQTT是一个基于客户端-服务器的消息发布/订阅传输协议，是轻量、简单、开放和易于实现的，这些特点使它适用范围非常广泛。</w:t>
      </w:r>
    </w:p>
    <w:p w14:paraId="2E5853D6">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开放性生产控制和统一架构  OPC unified architecture</w:t>
      </w:r>
    </w:p>
    <w:p w14:paraId="7635DF79">
      <w:pPr>
        <w:pStyle w:val="56"/>
        <w:ind w:firstLine="420"/>
      </w:pPr>
      <w:r>
        <w:rPr>
          <w:rFonts w:hint="eastAsia"/>
        </w:rPr>
        <w:t>一种使用了称为“面向对象”的方式来描述设备和系统之间的开放的通信技术标准。</w:t>
      </w:r>
    </w:p>
    <w:p w14:paraId="62D36DA4">
      <w:pPr>
        <w:pStyle w:val="104"/>
        <w:spacing w:before="312" w:after="312"/>
      </w:pPr>
      <w:bookmarkStart w:id="59" w:name="_Toc176869212"/>
      <w:bookmarkStart w:id="60" w:name="_Toc178153316"/>
      <w:bookmarkStart w:id="61" w:name="_Toc177197730"/>
      <w:bookmarkStart w:id="62" w:name="_Toc176870922"/>
      <w:r>
        <w:rPr>
          <w:rFonts w:hint="eastAsia"/>
        </w:rPr>
        <w:t>总则与结构</w:t>
      </w:r>
      <w:bookmarkEnd w:id="59"/>
      <w:bookmarkEnd w:id="60"/>
      <w:bookmarkEnd w:id="61"/>
      <w:bookmarkEnd w:id="62"/>
    </w:p>
    <w:p w14:paraId="106613C7">
      <w:pPr>
        <w:pStyle w:val="105"/>
        <w:spacing w:before="156" w:after="156"/>
      </w:pPr>
      <w:bookmarkStart w:id="63" w:name="_Toc176870923"/>
      <w:bookmarkStart w:id="64" w:name="_Toc178153317"/>
      <w:bookmarkStart w:id="65" w:name="_Toc176869213"/>
      <w:bookmarkStart w:id="66" w:name="_Toc177197731"/>
      <w:r>
        <w:rPr>
          <w:rFonts w:hint="eastAsia"/>
        </w:rPr>
        <w:t>设计原则</w:t>
      </w:r>
      <w:bookmarkEnd w:id="63"/>
      <w:bookmarkEnd w:id="64"/>
      <w:bookmarkEnd w:id="65"/>
      <w:bookmarkEnd w:id="66"/>
    </w:p>
    <w:p w14:paraId="5E728857">
      <w:pPr>
        <w:pStyle w:val="56"/>
        <w:ind w:firstLine="420"/>
      </w:pPr>
      <w:r>
        <w:rPr>
          <w:rFonts w:hint="eastAsia"/>
        </w:rPr>
        <w:t>设计原则包括：</w:t>
      </w:r>
    </w:p>
    <w:p w14:paraId="024C6C19">
      <w:pPr>
        <w:pStyle w:val="132"/>
      </w:pPr>
      <w:r>
        <w:rPr>
          <w:rFonts w:hint="eastAsia"/>
        </w:rPr>
        <w:t>远程控制、少人值守运行管理；</w:t>
      </w:r>
    </w:p>
    <w:p w14:paraId="67D6A98B">
      <w:pPr>
        <w:pStyle w:val="132"/>
      </w:pPr>
      <w:r>
        <w:rPr>
          <w:rFonts w:hint="eastAsia"/>
        </w:rPr>
        <w:t>工程接入电力、水利等上级管理部门远程监视、监控；</w:t>
      </w:r>
    </w:p>
    <w:p w14:paraId="28C1F92E">
      <w:pPr>
        <w:pStyle w:val="132"/>
      </w:pPr>
      <w:r>
        <w:rPr>
          <w:rFonts w:hint="eastAsia"/>
        </w:rPr>
        <w:t>工程接入所在流域水量调度的远程监视、监控。</w:t>
      </w:r>
    </w:p>
    <w:p w14:paraId="6A9635F7">
      <w:pPr>
        <w:pStyle w:val="105"/>
        <w:spacing w:before="156" w:after="156"/>
      </w:pPr>
      <w:bookmarkStart w:id="67" w:name="_Toc176869214"/>
      <w:bookmarkStart w:id="68" w:name="_Toc177197732"/>
      <w:bookmarkStart w:id="69" w:name="_Toc178153318"/>
      <w:bookmarkStart w:id="70" w:name="_Toc176870924"/>
      <w:r>
        <w:rPr>
          <w:rFonts w:hint="eastAsia"/>
        </w:rPr>
        <w:t>建设原则</w:t>
      </w:r>
      <w:bookmarkEnd w:id="67"/>
      <w:bookmarkEnd w:id="68"/>
      <w:bookmarkEnd w:id="69"/>
      <w:bookmarkEnd w:id="70"/>
    </w:p>
    <w:p w14:paraId="78CDA177">
      <w:pPr>
        <w:pStyle w:val="56"/>
        <w:ind w:firstLine="420"/>
      </w:pPr>
      <w:r>
        <w:rPr>
          <w:rFonts w:hint="eastAsia"/>
        </w:rPr>
        <w:t>建设原则包括：</w:t>
      </w:r>
    </w:p>
    <w:p w14:paraId="016EF08D">
      <w:pPr>
        <w:pStyle w:val="132"/>
      </w:pPr>
      <w:r>
        <w:rPr>
          <w:rFonts w:hint="eastAsia"/>
        </w:rPr>
        <w:t>统一规划、统一标准、统一设计；</w:t>
      </w:r>
    </w:p>
    <w:p w14:paraId="02382073">
      <w:pPr>
        <w:pStyle w:val="132"/>
      </w:pPr>
      <w:r>
        <w:rPr>
          <w:rFonts w:hint="eastAsia"/>
        </w:rPr>
        <w:t>技术先进、经济合理、安全适用；</w:t>
      </w:r>
    </w:p>
    <w:p w14:paraId="74224626">
      <w:pPr>
        <w:pStyle w:val="132"/>
      </w:pPr>
      <w:r>
        <w:rPr>
          <w:rFonts w:hint="eastAsia"/>
        </w:rPr>
        <w:t>系统设计结构化、模块化、标准化；</w:t>
      </w:r>
    </w:p>
    <w:p w14:paraId="45FFE406">
      <w:pPr>
        <w:pStyle w:val="132"/>
      </w:pPr>
      <w:r>
        <w:rPr>
          <w:rFonts w:hint="eastAsia"/>
        </w:rPr>
        <w:t>系统完整性、可扩展性和向上兼容性；</w:t>
      </w:r>
    </w:p>
    <w:p w14:paraId="1C07EC20">
      <w:pPr>
        <w:pStyle w:val="132"/>
      </w:pPr>
      <w:r>
        <w:rPr>
          <w:rFonts w:hint="eastAsia"/>
        </w:rPr>
        <w:t>便于实施、维护和使用。</w:t>
      </w:r>
    </w:p>
    <w:p w14:paraId="186CC25B">
      <w:pPr>
        <w:pStyle w:val="105"/>
        <w:spacing w:before="156" w:after="156"/>
      </w:pPr>
      <w:bookmarkStart w:id="71" w:name="_Toc177197733"/>
      <w:bookmarkStart w:id="72" w:name="_Toc176869215"/>
      <w:bookmarkStart w:id="73" w:name="_Toc178153319"/>
      <w:bookmarkStart w:id="74" w:name="_Toc176870925"/>
      <w:r>
        <w:rPr>
          <w:rFonts w:hint="eastAsia"/>
        </w:rPr>
        <w:t>整体结构</w:t>
      </w:r>
      <w:bookmarkEnd w:id="71"/>
      <w:bookmarkEnd w:id="72"/>
      <w:bookmarkEnd w:id="73"/>
      <w:bookmarkEnd w:id="74"/>
    </w:p>
    <w:p w14:paraId="06B68483">
      <w:pPr>
        <w:pStyle w:val="56"/>
        <w:ind w:firstLine="420"/>
      </w:pPr>
      <w:r>
        <w:rPr>
          <w:rFonts w:hint="eastAsia"/>
        </w:rPr>
        <w:t>本文件整体结构分为省级骨干水网、骨干调水工程、典型站点三个层级，如图1所示，省级骨干水网包括防洪安全、生态环保、民生改善、业态融合、水资源优化配置、调度会商等功能，骨干水网信息化建设过程表格见附录A；而骨干调水工程分为控制系统、业务系统，而系统体系与环境从总体要求、水文监测、工程安全监测、其他监测、通信网络、机房环境、计算存储方面对骨干调水工程做了补充说明；典型站点从泵站、闸站、其他三个方面提出了相应的标准，省级骨干水网、骨干调水工程、典型站点三个层级均满足网络安全、保障体系的要求。</w:t>
      </w:r>
    </w:p>
    <w:p w14:paraId="4E75DD21">
      <w:pPr>
        <w:pStyle w:val="56"/>
        <w:ind w:firstLine="0" w:firstLineChars="0"/>
        <w:jc w:val="center"/>
      </w:pPr>
      <w:r>
        <w:rPr>
          <w:rFonts w:hint="eastAsia" w:hAnsi="黑体" w:cs="黑体"/>
        </w:rPr>
        <w:drawing>
          <wp:inline distT="0" distB="0" distL="0" distR="0">
            <wp:extent cx="5915025" cy="4191000"/>
            <wp:effectExtent l="0" t="0" r="0" b="0"/>
            <wp:docPr id="1" name="图片 1" descr="C:/Users/Acer/AppData/Local/Temp/wps.wBeaZb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cer/AppData/Local/Temp/wps.wBeaZbwp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15025" cy="4191000"/>
                    </a:xfrm>
                    <a:prstGeom prst="rect">
                      <a:avLst/>
                    </a:prstGeom>
                    <a:noFill/>
                    <a:ln>
                      <a:noFill/>
                    </a:ln>
                  </pic:spPr>
                </pic:pic>
              </a:graphicData>
            </a:graphic>
          </wp:inline>
        </w:drawing>
      </w:r>
    </w:p>
    <w:p w14:paraId="4928549F">
      <w:pPr>
        <w:pStyle w:val="114"/>
        <w:spacing w:before="156" w:after="156"/>
      </w:pPr>
      <w:r>
        <w:rPr>
          <w:rFonts w:hint="eastAsia"/>
        </w:rPr>
        <w:t>整体架构</w:t>
      </w:r>
    </w:p>
    <w:p w14:paraId="33618A6D">
      <w:pPr>
        <w:pStyle w:val="104"/>
        <w:spacing w:before="312" w:after="312"/>
      </w:pPr>
      <w:bookmarkStart w:id="75" w:name="_Toc178153320"/>
      <w:bookmarkStart w:id="76" w:name="_Toc176870926"/>
      <w:bookmarkStart w:id="77" w:name="_Toc177197734"/>
      <w:bookmarkStart w:id="78" w:name="_Toc176869216"/>
      <w:r>
        <w:rPr>
          <w:rFonts w:hint="eastAsia"/>
        </w:rPr>
        <w:t>省级骨干水网</w:t>
      </w:r>
      <w:bookmarkEnd w:id="75"/>
      <w:bookmarkEnd w:id="76"/>
      <w:bookmarkEnd w:id="77"/>
      <w:bookmarkEnd w:id="78"/>
    </w:p>
    <w:p w14:paraId="6D9D0592">
      <w:pPr>
        <w:pStyle w:val="105"/>
        <w:spacing w:before="156" w:after="156"/>
      </w:pPr>
      <w:bookmarkStart w:id="79" w:name="_Toc177197735"/>
      <w:bookmarkStart w:id="80" w:name="_Toc178153321"/>
      <w:bookmarkStart w:id="81" w:name="_Toc176870927"/>
      <w:bookmarkStart w:id="82" w:name="_Toc176869217"/>
      <w:r>
        <w:rPr>
          <w:rFonts w:hint="eastAsia"/>
        </w:rPr>
        <w:t>一般规定</w:t>
      </w:r>
      <w:bookmarkEnd w:id="79"/>
      <w:bookmarkEnd w:id="80"/>
      <w:bookmarkEnd w:id="81"/>
      <w:bookmarkEnd w:id="82"/>
    </w:p>
    <w:p w14:paraId="52BB52BC">
      <w:pPr>
        <w:pStyle w:val="56"/>
        <w:ind w:firstLine="420"/>
      </w:pPr>
      <w:r>
        <w:rPr>
          <w:rFonts w:hint="eastAsia"/>
        </w:rPr>
        <w:t>省级骨干水网的一般规定包括：</w:t>
      </w:r>
    </w:p>
    <w:p w14:paraId="4AD8723D">
      <w:pPr>
        <w:pStyle w:val="132"/>
      </w:pPr>
      <w:r>
        <w:rPr>
          <w:rFonts w:hint="eastAsia"/>
        </w:rPr>
        <w:t>坚持节水优先、量水而行、开源节流并重，完善水资源配置格局，实现水资源互济联调，全面增强水资源总体调配能力；</w:t>
      </w:r>
    </w:p>
    <w:p w14:paraId="6A16F3B9">
      <w:pPr>
        <w:pStyle w:val="132"/>
      </w:pPr>
      <w:r>
        <w:rPr>
          <w:rFonts w:hint="eastAsia"/>
        </w:rPr>
        <w:t>提升洪水风险防控能力，科学提高防洪工程标准，增强全社会安全风险意识，提升流域防洪智能化水平，强化预报、预警、预演、预案四项措施；</w:t>
      </w:r>
    </w:p>
    <w:p w14:paraId="40CD58A5">
      <w:pPr>
        <w:pStyle w:val="132"/>
      </w:pPr>
      <w:r>
        <w:rPr>
          <w:rFonts w:hint="eastAsia"/>
        </w:rPr>
        <w:t>完善河湖生态系统保护治理体系，牢固树立生态文明理念，坚持系统治理、综合治理、源头治理，加快复苏河湖生态环境，让河流恢复生命、流域重现生机。加强河湖生态保护治理，开展重点河湖、湿地生态补水，保障河湖生态流量，加强岸线功能分区管控；</w:t>
      </w:r>
    </w:p>
    <w:p w14:paraId="6CB78ECD">
      <w:pPr>
        <w:pStyle w:val="132"/>
      </w:pPr>
      <w:r>
        <w:rPr>
          <w:rFonts w:hint="eastAsia"/>
        </w:rPr>
        <w:t>推动绿色发展，强化水资源承载能力刚性约束，建设生态水网工程。加快智慧发展，加强水网数字化建设，提升水网调度管理智能化水平，完善水网监测体系。</w:t>
      </w:r>
    </w:p>
    <w:p w14:paraId="0607184D">
      <w:pPr>
        <w:pStyle w:val="105"/>
        <w:spacing w:before="156" w:after="156"/>
      </w:pPr>
      <w:bookmarkStart w:id="83" w:name="_Toc176870928"/>
      <w:bookmarkStart w:id="84" w:name="_Toc176869218"/>
      <w:bookmarkStart w:id="85" w:name="_Toc177197736"/>
      <w:bookmarkStart w:id="86" w:name="_Toc178153322"/>
      <w:r>
        <w:rPr>
          <w:rFonts w:hint="eastAsia"/>
        </w:rPr>
        <w:t>系统功能</w:t>
      </w:r>
      <w:bookmarkEnd w:id="83"/>
      <w:bookmarkEnd w:id="84"/>
      <w:bookmarkEnd w:id="85"/>
      <w:bookmarkEnd w:id="86"/>
    </w:p>
    <w:p w14:paraId="492711DA">
      <w:pPr>
        <w:pStyle w:val="65"/>
        <w:spacing w:before="156" w:after="156"/>
      </w:pPr>
      <w:r>
        <w:rPr>
          <w:rFonts w:hint="eastAsia"/>
        </w:rPr>
        <w:t>防洪安全</w:t>
      </w:r>
    </w:p>
    <w:p w14:paraId="59FF3FA3">
      <w:pPr>
        <w:pStyle w:val="56"/>
        <w:ind w:firstLine="420"/>
      </w:pPr>
      <w:r>
        <w:rPr>
          <w:rFonts w:hint="eastAsia"/>
        </w:rPr>
        <w:t>以更高标准筑牢安全屏障，全面优化防洪减灾工程布局，构建完善现代化防洪工程体系。</w:t>
      </w:r>
    </w:p>
    <w:p w14:paraId="1A03D3E0">
      <w:pPr>
        <w:pStyle w:val="65"/>
        <w:spacing w:before="156" w:after="156"/>
      </w:pPr>
      <w:r>
        <w:rPr>
          <w:rFonts w:hint="eastAsia"/>
        </w:rPr>
        <w:t>生态环保</w:t>
      </w:r>
    </w:p>
    <w:p w14:paraId="765D929B">
      <w:pPr>
        <w:pStyle w:val="56"/>
        <w:ind w:firstLine="420"/>
      </w:pPr>
      <w:r>
        <w:rPr>
          <w:rFonts w:hint="eastAsia"/>
        </w:rPr>
        <w:t>统筹水资源、水生态、水环境治理，让河湖恢复生命、流域重现生机。</w:t>
      </w:r>
    </w:p>
    <w:p w14:paraId="6A7DCAFF">
      <w:pPr>
        <w:pStyle w:val="65"/>
        <w:spacing w:before="156" w:after="156"/>
      </w:pPr>
      <w:r>
        <w:rPr>
          <w:rFonts w:hint="eastAsia"/>
        </w:rPr>
        <w:t>民生改善</w:t>
      </w:r>
    </w:p>
    <w:p w14:paraId="24B6A648">
      <w:pPr>
        <w:pStyle w:val="56"/>
        <w:ind w:firstLine="420"/>
      </w:pPr>
      <w:r>
        <w:rPr>
          <w:rFonts w:hint="eastAsia"/>
        </w:rPr>
        <w:t>着力推动现代水网建设与乡村振兴相融合，让水网建设成果更好惠及民生。</w:t>
      </w:r>
    </w:p>
    <w:p w14:paraId="7F6798CC">
      <w:pPr>
        <w:pStyle w:val="65"/>
        <w:spacing w:before="156" w:after="156"/>
      </w:pPr>
      <w:r>
        <w:rPr>
          <w:rFonts w:hint="eastAsia"/>
        </w:rPr>
        <w:t>业态融合</w:t>
      </w:r>
    </w:p>
    <w:p w14:paraId="29FFB780">
      <w:pPr>
        <w:pStyle w:val="56"/>
        <w:ind w:firstLine="420"/>
      </w:pPr>
      <w:r>
        <w:rPr>
          <w:rFonts w:hint="eastAsia"/>
        </w:rPr>
        <w:t>围绕更好发挥现代水网整体功能和综合效益，在高标准强化水旱灾害防御等传统水利功能基础上，积极推动河湖生态价值转化，促进内河航运、文化旅游、抽水蓄能等绿色产业发展，带动沿线产业升级，培育新的经济增长点。</w:t>
      </w:r>
    </w:p>
    <w:p w14:paraId="66261182">
      <w:pPr>
        <w:pStyle w:val="65"/>
        <w:spacing w:before="156" w:after="156"/>
      </w:pPr>
      <w:r>
        <w:rPr>
          <w:rFonts w:hint="eastAsia"/>
        </w:rPr>
        <w:t>水资源优化配置</w:t>
      </w:r>
    </w:p>
    <w:p w14:paraId="3B76CEA1">
      <w:pPr>
        <w:pStyle w:val="56"/>
        <w:ind w:firstLine="420"/>
      </w:pPr>
      <w:r>
        <w:rPr>
          <w:rFonts w:hint="eastAsia"/>
        </w:rPr>
        <w:t>立足水资源空间均衡配置，坚持节水优先、量水而行，在深度节水控水的前提下，加强雨洪资源利用，推进区域水系联通，科学制定年度调水计划，节约集约高效利用外调水资源。</w:t>
      </w:r>
    </w:p>
    <w:p w14:paraId="7F97014D">
      <w:pPr>
        <w:pStyle w:val="65"/>
        <w:spacing w:before="156" w:after="156"/>
      </w:pPr>
      <w:r>
        <w:rPr>
          <w:rFonts w:hint="eastAsia"/>
        </w:rPr>
        <w:t>调度会商</w:t>
      </w:r>
    </w:p>
    <w:p w14:paraId="6A0B307B">
      <w:pPr>
        <w:pStyle w:val="94"/>
        <w:spacing w:before="156" w:after="156"/>
      </w:pPr>
      <w:r>
        <w:rPr>
          <w:rFonts w:hint="eastAsia"/>
        </w:rPr>
        <w:t>会商结构</w:t>
      </w:r>
    </w:p>
    <w:p w14:paraId="0CAA2BCD">
      <w:pPr>
        <w:pStyle w:val="167"/>
      </w:pPr>
      <w:r>
        <w:rPr>
          <w:rFonts w:hint="eastAsia"/>
        </w:rPr>
        <w:t>根据骨干水网调度管理方式的发展趋势，应按照“远程控制、少人值守”原则和工程特点，按照统一调度与分级调度相结合的管理模式。正常情况下，调度中心直接下发调度指令到现地站执行，即采用统一调度管理模式。特殊情况下，如遇工程运行险情、水质污染事件、工程险情时，在现地站无人值守的情况下，管理处根据险情情况可以发布调度指令和紧急控制现地站，但采取紧急控制后要及时上报调度中心、分调度中心。</w:t>
      </w:r>
    </w:p>
    <w:p w14:paraId="00451B28">
      <w:pPr>
        <w:pStyle w:val="167"/>
      </w:pPr>
      <w:r>
        <w:rPr>
          <w:rFonts w:hint="eastAsia"/>
        </w:rPr>
        <w:t>调度会商系统部署在各级调度机构会商室，利用先进的计算机网络和多媒体信息技术，实现本地数据可视化展示、异地会场协同交互、多级多部门联合会商，为水情分析、会商讨论、决策研判、联合调度、宣贯培训、技术交流提供支撑。</w:t>
      </w:r>
    </w:p>
    <w:p w14:paraId="19421A95">
      <w:pPr>
        <w:pStyle w:val="94"/>
        <w:spacing w:before="156" w:after="156"/>
      </w:pPr>
      <w:r>
        <w:rPr>
          <w:rFonts w:hint="eastAsia"/>
        </w:rPr>
        <w:t>会商调度中心</w:t>
      </w:r>
    </w:p>
    <w:p w14:paraId="42D56009">
      <w:pPr>
        <w:pStyle w:val="56"/>
        <w:ind w:firstLine="420"/>
      </w:pPr>
      <w:r>
        <w:rPr>
          <w:rFonts w:hint="eastAsia"/>
        </w:rPr>
        <w:t xml:space="preserve">结合实际建设完善集方案预演、会商研判、应急指挥等一体的工程会商调度中心，支持大中小屏多屏联动，支持现地站、各级管理部门视频会商接入，实现工程运行安全、防洪兴利调度、巡查管护、生产运营管理、综合决策等多场景一体化展示。 </w:t>
      </w:r>
    </w:p>
    <w:p w14:paraId="7B9B82DE">
      <w:pPr>
        <w:pStyle w:val="94"/>
        <w:spacing w:before="156" w:after="156"/>
      </w:pPr>
      <w:r>
        <w:rPr>
          <w:rFonts w:hint="eastAsia"/>
        </w:rPr>
        <w:t>信息展示功能</w:t>
      </w:r>
    </w:p>
    <w:p w14:paraId="0ACCD517">
      <w:pPr>
        <w:pStyle w:val="56"/>
        <w:ind w:firstLine="420"/>
      </w:pPr>
      <w:r>
        <w:rPr>
          <w:rFonts w:hint="eastAsia"/>
        </w:rPr>
        <w:t>信息展示功能主要用于水情信息展示，包括实时监测的水位、流量信息、视频监控画面信息等，采用拼接显示技术，实现支持多台终端同时操作、多路视频信号同步输出、多组画面任意分屏/组合/拼接/叠加/缩放/拖拽等功能。</w:t>
      </w:r>
    </w:p>
    <w:p w14:paraId="07BDEC5C">
      <w:pPr>
        <w:pStyle w:val="94"/>
        <w:spacing w:before="156" w:after="156"/>
      </w:pPr>
      <w:r>
        <w:rPr>
          <w:rFonts w:hint="eastAsia"/>
        </w:rPr>
        <w:t>视频会议功能</w:t>
      </w:r>
    </w:p>
    <w:p w14:paraId="562876A4">
      <w:pPr>
        <w:pStyle w:val="56"/>
        <w:ind w:firstLine="420"/>
      </w:pPr>
      <w:r>
        <w:rPr>
          <w:rFonts w:hint="eastAsia"/>
        </w:rPr>
        <w:t>视频会议功能主要用于各级调水管理单位组织会议，或上下级、同级之间组织点对点、多点联合会议。视频会议应支持多人同时在线交流讨论、多路会场音视频同步传输、主会场多媒体及应用系统演示等功能。调度平台、远控级应具备组织所辖下级机构召开视频会议功能，现场级应具备点对点、少量多点联合会议功能。</w:t>
      </w:r>
    </w:p>
    <w:p w14:paraId="112D41E3">
      <w:pPr>
        <w:pStyle w:val="94"/>
        <w:spacing w:before="156" w:after="156"/>
      </w:pPr>
      <w:r>
        <w:rPr>
          <w:rFonts w:hint="eastAsia"/>
        </w:rPr>
        <w:t>应急响应功能</w:t>
      </w:r>
    </w:p>
    <w:p w14:paraId="1717ECC5">
      <w:pPr>
        <w:pStyle w:val="56"/>
        <w:ind w:firstLine="420"/>
      </w:pPr>
      <w:r>
        <w:rPr>
          <w:rFonts w:hint="eastAsia"/>
        </w:rPr>
        <w:t>在调度异常情况发生时，启动应急响应，针对应急信息汇集与评价、应急方案制定、应急方案执行指挥、应急档案管理的情况，建立突发事件回放与评估系统，可进一步提高现场处置建设能力和现场处置的指挥调度、监测能力，使得在突发事件应急处理的监测预警、决策支持、指挥调度、现场处置和后期评估能力得到提升。</w:t>
      </w:r>
    </w:p>
    <w:p w14:paraId="2D8F8BEC">
      <w:pPr>
        <w:pStyle w:val="104"/>
        <w:spacing w:before="312" w:after="312"/>
      </w:pPr>
      <w:bookmarkStart w:id="87" w:name="_Toc177197737"/>
      <w:bookmarkStart w:id="88" w:name="_Toc178153323"/>
      <w:bookmarkStart w:id="89" w:name="_Toc176870929"/>
      <w:bookmarkStart w:id="90" w:name="_Toc176869219"/>
      <w:r>
        <w:rPr>
          <w:rFonts w:hint="eastAsia"/>
        </w:rPr>
        <w:t>骨干调水工程</w:t>
      </w:r>
      <w:bookmarkEnd w:id="87"/>
      <w:bookmarkEnd w:id="88"/>
      <w:bookmarkEnd w:id="89"/>
      <w:bookmarkEnd w:id="90"/>
    </w:p>
    <w:p w14:paraId="031C41F1">
      <w:pPr>
        <w:pStyle w:val="105"/>
        <w:spacing w:before="156" w:after="156"/>
      </w:pPr>
      <w:bookmarkStart w:id="91" w:name="_Toc178153324"/>
      <w:bookmarkStart w:id="92" w:name="_Toc176870930"/>
      <w:bookmarkStart w:id="93" w:name="_Toc177197738"/>
      <w:bookmarkStart w:id="94" w:name="_Toc176869220"/>
      <w:r>
        <w:rPr>
          <w:rFonts w:hint="eastAsia"/>
        </w:rPr>
        <w:t>一般规定</w:t>
      </w:r>
      <w:bookmarkEnd w:id="91"/>
      <w:bookmarkEnd w:id="92"/>
      <w:bookmarkEnd w:id="93"/>
      <w:bookmarkEnd w:id="94"/>
    </w:p>
    <w:p w14:paraId="79C2C796">
      <w:pPr>
        <w:pStyle w:val="56"/>
        <w:ind w:firstLine="420"/>
      </w:pPr>
      <w:r>
        <w:rPr>
          <w:rFonts w:hint="eastAsia"/>
        </w:rPr>
        <w:t>骨干调水工程的一般规定包括：</w:t>
      </w:r>
    </w:p>
    <w:p w14:paraId="0FEDC058">
      <w:pPr>
        <w:pStyle w:val="132"/>
      </w:pPr>
      <w:r>
        <w:rPr>
          <w:rFonts w:hint="eastAsia"/>
        </w:rPr>
        <w:t>信息采集频次、设备采集精度应根据相关业务系统需求，按照国家、行业及省的技术规定执行；</w:t>
      </w:r>
    </w:p>
    <w:p w14:paraId="77295947">
      <w:pPr>
        <w:pStyle w:val="132"/>
      </w:pPr>
      <w:r>
        <w:rPr>
          <w:rFonts w:hint="eastAsia"/>
        </w:rPr>
        <w:t>骨干调水工程的数据传输方式、格式和协议应按照国家、行业及省已发布的相关规定执行；</w:t>
      </w:r>
    </w:p>
    <w:p w14:paraId="2C1D689E">
      <w:pPr>
        <w:pStyle w:val="132"/>
      </w:pPr>
      <w:r>
        <w:rPr>
          <w:rFonts w:hint="eastAsia"/>
        </w:rPr>
        <w:t>骨干调水工程建设框架宜结合业务需求和各单位信息化基础，按统筹协调原则进行确定；</w:t>
      </w:r>
    </w:p>
    <w:p w14:paraId="1FA86DA7">
      <w:pPr>
        <w:pStyle w:val="132"/>
      </w:pPr>
      <w:r>
        <w:rPr>
          <w:rFonts w:hint="eastAsia"/>
        </w:rPr>
        <w:t>骨干调水工程建设应明确界定应用系统的功能及其逻辑关系，并提出切实可行的技术指标；</w:t>
      </w:r>
    </w:p>
    <w:p w14:paraId="5A2D6217">
      <w:pPr>
        <w:pStyle w:val="132"/>
      </w:pPr>
      <w:r>
        <w:rPr>
          <w:rFonts w:hint="eastAsia"/>
        </w:rPr>
        <w:t>骨干调水工程系统的开发应满足业务功能、性能及其发展需求，并优先使用水利云提供的计算、存储、通讯、数据等资源。</w:t>
      </w:r>
    </w:p>
    <w:p w14:paraId="6C7FEF36">
      <w:pPr>
        <w:pStyle w:val="105"/>
        <w:spacing w:before="156" w:after="156"/>
      </w:pPr>
      <w:bookmarkStart w:id="95" w:name="_Toc177197739"/>
      <w:bookmarkStart w:id="96" w:name="_Toc176869221"/>
      <w:bookmarkStart w:id="97" w:name="_Toc176870931"/>
      <w:bookmarkStart w:id="98" w:name="_Toc178153325"/>
      <w:r>
        <w:rPr>
          <w:rFonts w:hint="eastAsia"/>
        </w:rPr>
        <w:t>系统架构</w:t>
      </w:r>
      <w:bookmarkEnd w:id="95"/>
      <w:bookmarkEnd w:id="96"/>
      <w:bookmarkEnd w:id="97"/>
      <w:bookmarkEnd w:id="98"/>
    </w:p>
    <w:p w14:paraId="0556EF4D">
      <w:pPr>
        <w:pStyle w:val="56"/>
        <w:ind w:firstLine="420"/>
      </w:pPr>
      <w:r>
        <w:rPr>
          <w:rFonts w:hint="eastAsia"/>
        </w:rPr>
        <w:t>骨干调水工程的系统架构包括：</w:t>
      </w:r>
    </w:p>
    <w:p w14:paraId="2F2E6EF4">
      <w:pPr>
        <w:pStyle w:val="132"/>
      </w:pPr>
      <w:r>
        <w:rPr>
          <w:rFonts w:hint="eastAsia"/>
        </w:rPr>
        <w:t>泵站系统架构纵向宜划分为过程层、单元层、站控层、分中心层、中心层；</w:t>
      </w:r>
    </w:p>
    <w:p w14:paraId="5DA4A431">
      <w:pPr>
        <w:pStyle w:val="132"/>
      </w:pPr>
      <w:r>
        <w:rPr>
          <w:rFonts w:hint="eastAsia"/>
        </w:rPr>
        <w:t>过程层设备应包括叶调、冷却、励磁、断流、温度、振摆等智能电子装置以及合并单元，支持或实现设备运行信息的实时采集和传送，接收并执行各种操作与控制指令；</w:t>
      </w:r>
    </w:p>
    <w:p w14:paraId="65266C79">
      <w:pPr>
        <w:pStyle w:val="132"/>
      </w:pPr>
      <w:r>
        <w:rPr>
          <w:rFonts w:hint="eastAsia"/>
        </w:rPr>
        <w:t>单元层设备应包括主机组、辅机设备、主变压器、高压开关及主控等智能单元，具备监测、控制、保护、调节、分析等功能；</w:t>
      </w:r>
    </w:p>
    <w:p w14:paraId="7EBF608B">
      <w:pPr>
        <w:pStyle w:val="132"/>
      </w:pPr>
      <w:r>
        <w:rPr>
          <w:rFonts w:hint="eastAsia"/>
        </w:rPr>
        <w:t>站控层设备应包括操作员工作站、工程师工作站、数据库服务器、综合应用服务器、通讯服务器、通信网关、不间断电源、大屏幕显示系统等，具备数据采集、数据处理、状态监视、设备控制和运行管理等功能；</w:t>
      </w:r>
    </w:p>
    <w:p w14:paraId="29ED4BD6">
      <w:pPr>
        <w:pStyle w:val="132"/>
      </w:pPr>
      <w:r>
        <w:rPr>
          <w:rFonts w:hint="eastAsia"/>
        </w:rPr>
        <w:t>分中心层设备应包括操作员工作站、工程师工作站、数据库服务器、综合应用服务器、通讯服务器、不间断电源、大屏幕显示系统等，具备数据采集、数据处理、状态监视、设备控制和运行管理等功能；</w:t>
      </w:r>
    </w:p>
    <w:p w14:paraId="78BEC88D">
      <w:pPr>
        <w:pStyle w:val="132"/>
      </w:pPr>
      <w:r>
        <w:rPr>
          <w:rFonts w:hint="eastAsia"/>
        </w:rPr>
        <w:t>中心层设备应包括操作员工作站、工程师工作站、数据库服务器、综合应用服务器、通讯服务器、不间断电源、大屏幕显示系统等，具备数据采集、数据处理、状态监视、设备控制和运行管理等功能。</w:t>
      </w:r>
    </w:p>
    <w:p w14:paraId="19F1AD24">
      <w:pPr>
        <w:pStyle w:val="105"/>
        <w:spacing w:before="156" w:after="156"/>
      </w:pPr>
      <w:bookmarkStart w:id="99" w:name="_Toc177197740"/>
      <w:bookmarkStart w:id="100" w:name="_Toc176869222"/>
      <w:bookmarkStart w:id="101" w:name="_Toc176870932"/>
      <w:bookmarkStart w:id="102" w:name="_Toc178153326"/>
      <w:r>
        <w:rPr>
          <w:rFonts w:hint="eastAsia"/>
        </w:rPr>
        <w:t>控制系统</w:t>
      </w:r>
      <w:bookmarkEnd w:id="99"/>
      <w:bookmarkEnd w:id="100"/>
      <w:bookmarkEnd w:id="101"/>
      <w:bookmarkEnd w:id="102"/>
    </w:p>
    <w:p w14:paraId="3829A5A9">
      <w:pPr>
        <w:pStyle w:val="65"/>
        <w:spacing w:before="156" w:after="156"/>
      </w:pPr>
      <w:r>
        <w:rPr>
          <w:rFonts w:hint="eastAsia"/>
        </w:rPr>
        <w:t>功能要求</w:t>
      </w:r>
    </w:p>
    <w:p w14:paraId="0F8F06BB">
      <w:pPr>
        <w:pStyle w:val="56"/>
        <w:ind w:firstLine="420"/>
      </w:pPr>
      <w:r>
        <w:rPr>
          <w:rFonts w:hint="eastAsia"/>
        </w:rPr>
        <w:t>控制系统的功能要求包括：</w:t>
      </w:r>
    </w:p>
    <w:p w14:paraId="259AE9B5">
      <w:pPr>
        <w:pStyle w:val="132"/>
      </w:pPr>
      <w:r>
        <w:rPr>
          <w:rFonts w:hint="eastAsia"/>
        </w:rPr>
        <w:t>骨干调水工程监控平台应能够迅速、准确、有效地对骨干调水工程内监控监测设备进行运行监视、控制、保护、以及调度运行管理；</w:t>
      </w:r>
    </w:p>
    <w:p w14:paraId="7EB4893C">
      <w:pPr>
        <w:pStyle w:val="132"/>
      </w:pPr>
      <w:r>
        <w:rPr>
          <w:rFonts w:hint="eastAsia"/>
        </w:rPr>
        <w:t>能够实现与省级调度系统实时紧密耦合；</w:t>
      </w:r>
    </w:p>
    <w:p w14:paraId="6947383F">
      <w:pPr>
        <w:pStyle w:val="132"/>
      </w:pPr>
      <w:r>
        <w:rPr>
          <w:rFonts w:hint="eastAsia"/>
        </w:rPr>
        <w:t>骨干调水工程控制系统应包括现地控制级、站控控制级、分中心控制级、中心控制级；</w:t>
      </w:r>
    </w:p>
    <w:p w14:paraId="4A53B477">
      <w:pPr>
        <w:pStyle w:val="132"/>
      </w:pPr>
      <w:r>
        <w:rPr>
          <w:rFonts w:hint="eastAsia"/>
        </w:rPr>
        <w:t>骨干调水工程控制系统与业务系统应设置安全边界；</w:t>
      </w:r>
    </w:p>
    <w:p w14:paraId="232E1DFC">
      <w:pPr>
        <w:pStyle w:val="132"/>
      </w:pPr>
      <w:r>
        <w:rPr>
          <w:rFonts w:hint="eastAsia"/>
        </w:rPr>
        <w:t>骨干调水工程宜采用成熟、商业化程度高、自动化程度高、具有分布式工业实时数据库系统的SCADA监控平台，能够处理基于发布和定制方式的实时数据服务，能够自动完成与实时/历史数据服务器的数据交互，所有数据具备数据唯一性、完整性、同步性、安全性、实用性；</w:t>
      </w:r>
    </w:p>
    <w:p w14:paraId="225A2C80">
      <w:pPr>
        <w:pStyle w:val="132"/>
      </w:pPr>
      <w:r>
        <w:rPr>
          <w:rFonts w:hint="eastAsia"/>
        </w:rPr>
        <w:t>为省级调度系统提供标准、稳定、统一数据接口；</w:t>
      </w:r>
    </w:p>
    <w:p w14:paraId="618DDDF3">
      <w:pPr>
        <w:pStyle w:val="132"/>
      </w:pPr>
      <w:r>
        <w:rPr>
          <w:rFonts w:hint="eastAsia"/>
        </w:rPr>
        <w:t>控制系统与业务系统根据业务需求配置不同安全等级网络安全设备进行安全防护，具备高效、严谨、安全的权限管理能力；</w:t>
      </w:r>
    </w:p>
    <w:p w14:paraId="41D566FA">
      <w:pPr>
        <w:pStyle w:val="132"/>
      </w:pPr>
      <w:r>
        <w:rPr>
          <w:rFonts w:hint="eastAsia"/>
        </w:rPr>
        <w:t>控制系统点位编码要求保持唯一性。</w:t>
      </w:r>
    </w:p>
    <w:p w14:paraId="33107DA9">
      <w:pPr>
        <w:pStyle w:val="65"/>
        <w:spacing w:before="156" w:after="156"/>
      </w:pPr>
      <w:r>
        <w:rPr>
          <w:rFonts w:hint="eastAsia"/>
        </w:rPr>
        <w:t>技术要求</w:t>
      </w:r>
    </w:p>
    <w:p w14:paraId="034A90C3">
      <w:pPr>
        <w:pStyle w:val="56"/>
        <w:ind w:firstLine="420"/>
      </w:pPr>
      <w:r>
        <w:rPr>
          <w:rFonts w:hint="eastAsia"/>
        </w:rPr>
        <w:t>控制系统的技术要求包括：</w:t>
      </w:r>
    </w:p>
    <w:p w14:paraId="24859FE1">
      <w:pPr>
        <w:pStyle w:val="132"/>
      </w:pPr>
      <w:r>
        <w:rPr>
          <w:rFonts w:hint="eastAsia"/>
        </w:rPr>
        <w:t>数据采集、处理模块可对关键数据进行滤波和清洗；</w:t>
      </w:r>
    </w:p>
    <w:p w14:paraId="174C808B">
      <w:pPr>
        <w:pStyle w:val="132"/>
      </w:pPr>
      <w:r>
        <w:rPr>
          <w:rFonts w:hint="eastAsia"/>
        </w:rPr>
        <w:t>系统能完整记录系统事件、设备操作事件、设备动作事件等，所有事件记录必须要包含时标、描述等，能够帮助用户追溯问题提供数据支撑；</w:t>
      </w:r>
    </w:p>
    <w:p w14:paraId="443BEC53">
      <w:pPr>
        <w:pStyle w:val="132"/>
      </w:pPr>
      <w:r>
        <w:rPr>
          <w:rFonts w:hint="eastAsia"/>
        </w:rPr>
        <w:t>报警管理要求包括状态量变化报警、越限报警和事故报警；</w:t>
      </w:r>
    </w:p>
    <w:p w14:paraId="20B58A06">
      <w:pPr>
        <w:pStyle w:val="132"/>
      </w:pPr>
      <w:r>
        <w:rPr>
          <w:rFonts w:hint="eastAsia"/>
        </w:rPr>
        <w:t>系统具备实时、历史趋势分析能力，即可对实时数据和历史数据进行分析比较，也可以捕获一瞬间发生的工艺状态；</w:t>
      </w:r>
    </w:p>
    <w:p w14:paraId="0119EA93">
      <w:pPr>
        <w:pStyle w:val="132"/>
      </w:pPr>
      <w:r>
        <w:rPr>
          <w:rFonts w:hint="eastAsia"/>
        </w:rPr>
        <w:t>提供时间函数、算术计算、各种专业计算等函数，满足各种常规报表计算需要；</w:t>
      </w:r>
    </w:p>
    <w:p w14:paraId="463B68E1">
      <w:pPr>
        <w:pStyle w:val="132"/>
      </w:pPr>
      <w:r>
        <w:rPr>
          <w:rFonts w:hint="eastAsia"/>
        </w:rPr>
        <w:t>各层级宜配置的时钟同步设备，保证整个系统设备的时钟同步；</w:t>
      </w:r>
    </w:p>
    <w:p w14:paraId="3B7ED8A5">
      <w:pPr>
        <w:pStyle w:val="132"/>
      </w:pPr>
      <w:r>
        <w:rPr>
          <w:rFonts w:hint="eastAsia"/>
        </w:rPr>
        <w:t>系统可配置不同用户权限，至少可分配四个级别的用户：操作工级、班长级、工程师级和系统管理员级；</w:t>
      </w:r>
    </w:p>
    <w:p w14:paraId="1B8E4D09">
      <w:pPr>
        <w:pStyle w:val="132"/>
      </w:pPr>
      <w:r>
        <w:rPr>
          <w:rFonts w:hint="eastAsia"/>
        </w:rPr>
        <w:t>冗余的系统设备，当诊断出主用设备故障时，应能自动发信号并切换到备用设备。当诊断出外围设备故障时，能自动将其切除并发信号；</w:t>
      </w:r>
    </w:p>
    <w:p w14:paraId="2EF9B10D">
      <w:pPr>
        <w:pStyle w:val="132"/>
      </w:pPr>
      <w:r>
        <w:rPr>
          <w:rFonts w:hint="eastAsia"/>
        </w:rPr>
        <w:t>骨干调水工程各层级通信接口宜标准、通用、统一，例如：开放性生产控制和统一架构、消息队列遥测传输等。</w:t>
      </w:r>
    </w:p>
    <w:p w14:paraId="01C820AA">
      <w:pPr>
        <w:pStyle w:val="105"/>
        <w:spacing w:before="156" w:after="156"/>
      </w:pPr>
      <w:bookmarkStart w:id="103" w:name="_Toc176869223"/>
      <w:bookmarkStart w:id="104" w:name="_Toc176870933"/>
      <w:bookmarkStart w:id="105" w:name="_Toc178153327"/>
      <w:bookmarkStart w:id="106" w:name="_Toc177197741"/>
      <w:r>
        <w:rPr>
          <w:rFonts w:hint="eastAsia"/>
        </w:rPr>
        <w:t>业务系统</w:t>
      </w:r>
      <w:bookmarkEnd w:id="103"/>
      <w:bookmarkEnd w:id="104"/>
      <w:bookmarkEnd w:id="105"/>
      <w:bookmarkEnd w:id="106"/>
    </w:p>
    <w:p w14:paraId="463165ED">
      <w:pPr>
        <w:pStyle w:val="65"/>
        <w:spacing w:before="156" w:after="156"/>
      </w:pPr>
      <w:r>
        <w:rPr>
          <w:rFonts w:hint="eastAsia"/>
        </w:rPr>
        <w:t>功能要求</w:t>
      </w:r>
    </w:p>
    <w:p w14:paraId="7481E311">
      <w:pPr>
        <w:pStyle w:val="164"/>
      </w:pPr>
      <w:r>
        <w:rPr>
          <w:rFonts w:hint="eastAsia"/>
        </w:rPr>
        <w:t>骨干调水工程业务系统应先进、经济、实用，安全、可靠，满足实际调度需求，具备较高自动化水平，且有一定的扩展能力，不仅能为各级调水管理部门合理有效地调度管理水资源提供科学依据和技术支持，还要为各级调度运行管理人员提供信息化操作平台和调度会商决策支撑环境。</w:t>
      </w:r>
    </w:p>
    <w:p w14:paraId="7E4761B3">
      <w:pPr>
        <w:pStyle w:val="164"/>
      </w:pPr>
      <w:r>
        <w:rPr>
          <w:rFonts w:hint="eastAsia"/>
        </w:rPr>
        <w:t>在系统工程数据底板基础上，充分共享模型库、知识库成果，充分利用现有信息系统，在孪生引擎的驱动下，发挥系统工程的数字映射、智能模拟、前瞻预演作用，以工程安全为核心目标，建设工程安全智能分析预警、防洪兴利智能调度、生产运营管理、巡查管护、综合决策支持等业务应用，并结合实际需求持续扩展和升级完善。应加强业务应用自身安全防护。</w:t>
      </w:r>
    </w:p>
    <w:p w14:paraId="2897D939">
      <w:pPr>
        <w:pStyle w:val="65"/>
        <w:spacing w:before="156" w:after="156"/>
      </w:pPr>
      <w:r>
        <w:rPr>
          <w:rFonts w:hint="eastAsia"/>
        </w:rPr>
        <w:t>技术要求</w:t>
      </w:r>
    </w:p>
    <w:p w14:paraId="0DC124DD">
      <w:pPr>
        <w:pStyle w:val="94"/>
        <w:spacing w:before="156" w:after="156"/>
      </w:pPr>
      <w:r>
        <w:rPr>
          <w:rFonts w:hint="eastAsia"/>
        </w:rPr>
        <w:t>工程安全智能分析预警</w:t>
      </w:r>
    </w:p>
    <w:p w14:paraId="7E3B72B6">
      <w:pPr>
        <w:pStyle w:val="56"/>
        <w:ind w:firstLine="420"/>
      </w:pPr>
      <w:r>
        <w:rPr>
          <w:rFonts w:hint="eastAsia"/>
        </w:rPr>
        <w:t>根据工程运行管理的有关规定，重点聚焦汛期、强降雨等特殊时期工程安全，针对工程结构特点、 安全隐患与薄弱环节，构建安全性态预测、安全风险预警、安全状态预演、安全处置预案等功能，实现工程安全智能分析预警，守住工程安全底线。</w:t>
      </w:r>
    </w:p>
    <w:p w14:paraId="40505ADE">
      <w:pPr>
        <w:pStyle w:val="94"/>
        <w:spacing w:before="156" w:after="156"/>
      </w:pPr>
      <w:r>
        <w:rPr>
          <w:rFonts w:hint="eastAsia"/>
        </w:rPr>
        <w:t>防洪兴利智能调度</w:t>
      </w:r>
    </w:p>
    <w:p w14:paraId="631F086F">
      <w:pPr>
        <w:pStyle w:val="56"/>
        <w:ind w:firstLine="420"/>
      </w:pPr>
      <w:r>
        <w:rPr>
          <w:rFonts w:hint="eastAsia"/>
        </w:rPr>
        <w:t>应在防洪预报调度等已有系统或功能的基础上，统筹考虑经济社会发展、乡村振兴、水生态、水环境、水安全调配等需求，进一步完善数据、模型计算等功能，根据工程防洪、发电、供水、生态、航运等调度规则，突出预报、预警、预演、预案等重点环节，构建数字化场景，强化超前精准预报、灾害预警通报、调度模拟预演、预案优化修正等功能，支撑工程防洪兴利智能调度，提升工程多目标调度效益。</w:t>
      </w:r>
    </w:p>
    <w:p w14:paraId="1F7E7B42">
      <w:pPr>
        <w:pStyle w:val="94"/>
        <w:spacing w:before="156" w:after="156"/>
      </w:pPr>
      <w:r>
        <w:rPr>
          <w:rFonts w:hint="eastAsia"/>
        </w:rPr>
        <w:t xml:space="preserve">生产运营管理 </w:t>
      </w:r>
    </w:p>
    <w:p w14:paraId="141F605B">
      <w:pPr>
        <w:pStyle w:val="56"/>
        <w:ind w:firstLine="420"/>
      </w:pPr>
      <w:r>
        <w:rPr>
          <w:rFonts w:hint="eastAsia"/>
        </w:rPr>
        <w:t>生产运营管理应在生产管理、内部管理等已有系统或功能的基础上，按照工程管理单位相关管理制 度规定，突出不同业务环节间的互联互通、数据共享、业务协同，打造生产运营管理系统，促进数字化转型，支撑水利工程智慧化生产运营。</w:t>
      </w:r>
    </w:p>
    <w:p w14:paraId="79F929C9">
      <w:pPr>
        <w:pStyle w:val="94"/>
        <w:spacing w:before="156" w:after="156"/>
      </w:pPr>
      <w:r>
        <w:rPr>
          <w:rFonts w:hint="eastAsia"/>
        </w:rPr>
        <w:t>巡查管护</w:t>
      </w:r>
    </w:p>
    <w:p w14:paraId="3F4F76FF">
      <w:pPr>
        <w:pStyle w:val="56"/>
        <w:ind w:firstLine="420"/>
      </w:pPr>
      <w:r>
        <w:rPr>
          <w:rFonts w:hint="eastAsia"/>
        </w:rPr>
        <w:t>巡查管护应在工程安防监控、岸线巡查等已有系统或功能的基础上，根据业务需要强化确权划界、水政巡查、次生灾害、安防监控、“四乱（乱占、乱采、乱堆、乱建）”整治、采砂监管、生态保护等业务功能。</w:t>
      </w:r>
    </w:p>
    <w:p w14:paraId="454EE7C8">
      <w:pPr>
        <w:pStyle w:val="94"/>
        <w:spacing w:before="156" w:after="156"/>
      </w:pPr>
      <w:r>
        <w:rPr>
          <w:rFonts w:hint="eastAsia"/>
        </w:rPr>
        <w:t>综合决策支持</w:t>
      </w:r>
    </w:p>
    <w:p w14:paraId="623D1115">
      <w:pPr>
        <w:pStyle w:val="56"/>
        <w:ind w:firstLine="420"/>
      </w:pPr>
      <w:r>
        <w:rPr>
          <w:rFonts w:hint="eastAsia"/>
        </w:rPr>
        <w:t>综合决策支持应在查询统计、门户等已有系统或功能的基础上，强化工程全景可视化平台、全场景专题调用等功能，统筹工程安全、兴利除害、生产运营等功能，支持综合决策。</w:t>
      </w:r>
    </w:p>
    <w:p w14:paraId="3D9D6EDC">
      <w:pPr>
        <w:pStyle w:val="105"/>
        <w:spacing w:before="156" w:after="156"/>
      </w:pPr>
      <w:bookmarkStart w:id="107" w:name="_Toc177197742"/>
      <w:bookmarkStart w:id="108" w:name="_Toc176869224"/>
      <w:bookmarkStart w:id="109" w:name="_Toc178153328"/>
      <w:bookmarkStart w:id="110" w:name="_Toc176870934"/>
      <w:r>
        <w:rPr>
          <w:rFonts w:hint="eastAsia"/>
        </w:rPr>
        <w:t>系统体系与环境</w:t>
      </w:r>
      <w:bookmarkEnd w:id="107"/>
      <w:bookmarkEnd w:id="108"/>
      <w:bookmarkEnd w:id="109"/>
      <w:bookmarkEnd w:id="110"/>
    </w:p>
    <w:p w14:paraId="0FAF7817">
      <w:pPr>
        <w:pStyle w:val="65"/>
        <w:spacing w:before="156" w:after="156"/>
      </w:pPr>
      <w:r>
        <w:rPr>
          <w:rFonts w:hint="eastAsia"/>
        </w:rPr>
        <w:t>总体要求</w:t>
      </w:r>
    </w:p>
    <w:p w14:paraId="067B80BD">
      <w:pPr>
        <w:pStyle w:val="164"/>
      </w:pPr>
      <w:r>
        <w:rPr>
          <w:rFonts w:hint="eastAsia"/>
        </w:rPr>
        <w:t xml:space="preserve"> 以系统工程高保真模拟运行为目标，在现有标准基础上，科学规划监测感知系统，扩展监测项目，加大监测密度，提高监测频次，为数据底板提供全要素实时感知数据。  </w:t>
      </w:r>
    </w:p>
    <w:p w14:paraId="5459BA59">
      <w:pPr>
        <w:pStyle w:val="164"/>
      </w:pPr>
      <w:r>
        <w:rPr>
          <w:rFonts w:hint="eastAsia"/>
        </w:rPr>
        <w:t xml:space="preserve">采用专业传感器采集、视频监控、巡视巡查等监测感知方式，宜采用卫星遥感、视频监控、无人机、无人船、地面机器人、水下机器人等新型监测手段。监测感知设施设备应集约建设、匹配兼容。 </w:t>
      </w:r>
    </w:p>
    <w:p w14:paraId="49C7BCE3">
      <w:pPr>
        <w:pStyle w:val="164"/>
      </w:pPr>
      <w:r>
        <w:rPr>
          <w:rFonts w:hint="eastAsia"/>
        </w:rPr>
        <w:t xml:space="preserve">根据实际情况，采用有线、无线等通信方式，在条件允许时，宜优先使用有线通信，宜加强5G、窄带物联网、微波、WiFi6等无线通信方式应用。宜建设北斗短报文、卫星通信等应急通信措施，保障极端情况下的信息报送和预警发布能力。在时间敏感、数据敏感或带宽资源占用大的监测告警、智能图像、增强现实等物联网应用场景中宜构建边缘计算网络，与云平台等计算资源互联互通，有机结合。边缘计算网络宜采用光纤直连方式。 </w:t>
      </w:r>
    </w:p>
    <w:p w14:paraId="5885E500">
      <w:pPr>
        <w:pStyle w:val="65"/>
        <w:spacing w:before="156" w:after="156"/>
      </w:pPr>
      <w:r>
        <w:rPr>
          <w:rFonts w:hint="eastAsia"/>
        </w:rPr>
        <w:t>水文监测</w:t>
      </w:r>
    </w:p>
    <w:p w14:paraId="7CA14E4B">
      <w:pPr>
        <w:pStyle w:val="164"/>
      </w:pPr>
      <w:r>
        <w:rPr>
          <w:rFonts w:hint="eastAsia"/>
        </w:rPr>
        <w:t>共享流域管理机构、地方水行政主管部门相关雨量站监测数据。应在SL 21和SL 34基础上，根据需要加密监测，水库库区未控集雨面积应按每50平方千米配置不少于2处雨量站，水闸闸区应配置1处雨量站。根据实际需求采用水位雨量视频一体化监测设施。重点雨量监测站宜汛期每小时、降水时段内每5</w:t>
      </w:r>
      <w:r>
        <w:t> </w:t>
      </w:r>
      <w:r>
        <w:rPr>
          <w:rFonts w:hint="eastAsia"/>
        </w:rPr>
        <w:t xml:space="preserve">min自动采集一组降雨量数据，包括时段降雨量和当日累计降雨量；遇暴雨等突发状况时应能按要求加密采集。 </w:t>
      </w:r>
    </w:p>
    <w:p w14:paraId="70617AE5">
      <w:pPr>
        <w:pStyle w:val="164"/>
      </w:pPr>
      <w:r>
        <w:rPr>
          <w:rFonts w:hint="eastAsia"/>
        </w:rPr>
        <w:t>水位监测应符合GB/T 50138要求，应在水闸闸前、闸后流态平稳区域各设至少1处水位自动监测站，根据实际需求采用视频监视等方式配合校核数据。在水库工程入库、出库控制断面，应自建水位自动监测站或共享流域管理机构、地方水行政主管部门水文站。有条件的工程根据需要在库区设置水位自动监测站。水位自动监测频次应不低于6</w:t>
      </w:r>
      <w:r>
        <w:t> </w:t>
      </w:r>
      <w:r>
        <w:rPr>
          <w:rFonts w:hint="eastAsia"/>
        </w:rPr>
        <w:t xml:space="preserve">min一次。 </w:t>
      </w:r>
    </w:p>
    <w:p w14:paraId="19631749">
      <w:pPr>
        <w:pStyle w:val="164"/>
      </w:pPr>
      <w:r>
        <w:rPr>
          <w:rFonts w:hint="eastAsia"/>
        </w:rPr>
        <w:t xml:space="preserve">对水库、泵站工程入、出流量进行监测。宜共享流域管理机构、地方水行政主管部门相关水文站监测数据；根据需要自行监测，建设必要的土建设施，在相应断面布置流量自动监测设备；可综合利用水文学方法进行计算补充。监测方案选择以满足测报精度需要为准，应符GB 50179要求。流量自动量测频次根据设备及量测环境合理确定，水位—流量关系曲线换算频次与水位监测一致。 </w:t>
      </w:r>
    </w:p>
    <w:p w14:paraId="67791EA2">
      <w:pPr>
        <w:pStyle w:val="164"/>
      </w:pPr>
      <w:r>
        <w:rPr>
          <w:rFonts w:hint="eastAsia"/>
        </w:rPr>
        <w:t xml:space="preserve">泥沙监测应符合GB/T 50159要求，采用自建等方式在回水末端至坝前进行水库淤积监测。采用断面法测量，根据测验成果计算水库库容及冲淤量。应按SL 339要求按期复核断面法测验成果，优化调整断面设置。针对坝前漏斗区、淤积三角洲顶坡段、支流拦门沙坎等冲淤变化明显区域或其他重点部位，宜开展水下地形扫描监测，精确测验冲淤形态变化。 </w:t>
      </w:r>
    </w:p>
    <w:p w14:paraId="78D0D178">
      <w:pPr>
        <w:pStyle w:val="164"/>
      </w:pPr>
      <w:r>
        <w:rPr>
          <w:rFonts w:hint="eastAsia"/>
        </w:rPr>
        <w:t xml:space="preserve">针对多沙河流工程，在排沙期间应开展出库含沙量监测，并结合实际开展发电含沙量、泄流孔洞含沙量监测，推荐在适当位置设置含沙量自动化监测装置。水库淤积监测，多沙河流水库宜每年不少于1次，少沙河流水库视情况开展相关工作。多沙河流水库出库含沙量监测不少于每天1次，其他含沙量监测频率根据需要确定。 </w:t>
      </w:r>
    </w:p>
    <w:p w14:paraId="55871C3E">
      <w:pPr>
        <w:pStyle w:val="65"/>
        <w:spacing w:before="156" w:after="156"/>
      </w:pPr>
      <w:r>
        <w:rPr>
          <w:rFonts w:hint="eastAsia"/>
        </w:rPr>
        <w:t>工程安全监测</w:t>
      </w:r>
    </w:p>
    <w:p w14:paraId="2E70790D">
      <w:pPr>
        <w:pStyle w:val="56"/>
        <w:ind w:firstLine="420"/>
      </w:pPr>
      <w:r>
        <w:rPr>
          <w:rFonts w:hint="eastAsia"/>
        </w:rPr>
        <w:t xml:space="preserve">应在SL 551、SL 601、SL 725、SL 766、SL 768等工程安全监测相关规范基础上，以保障工程安全、精准调度为目标，进行工程安全风险分析、安全监测系统评价鉴定，确定监测项目、监测点位布置、精度与监测频次等，更新完善监测设施，建设或提档升级工程安全监测自动化系统，提升工程安全在线监测感知能力。具备条件的单位，宜构建基于星载平台（北斗、干涉式合成孔径雷达等）、航空平台（无人机摄影测量等）、地面平台（高精度三维激光扫描仪等）的天空地一体化多源立体监测系统，实现对工程全域安全隐患的早期识别与重点监测。遇高水位、水位骤变、特大暴雨、强地震等特殊情况或巡视检查等发现工程异常时应增加监测频次。 </w:t>
      </w:r>
    </w:p>
    <w:p w14:paraId="326B4B7B">
      <w:pPr>
        <w:pStyle w:val="65"/>
        <w:spacing w:before="156" w:after="156"/>
      </w:pPr>
      <w:r>
        <w:rPr>
          <w:rFonts w:hint="eastAsia"/>
        </w:rPr>
        <w:t>其他监测</w:t>
      </w:r>
    </w:p>
    <w:p w14:paraId="30F8AD6C">
      <w:pPr>
        <w:pStyle w:val="56"/>
        <w:ind w:firstLine="420"/>
      </w:pPr>
      <w:r>
        <w:rPr>
          <w:rFonts w:hint="eastAsia"/>
        </w:rPr>
        <w:t xml:space="preserve">根据需要开展土壤墒情、水土保持、岸线变化和利用、地质、通航状况等监测。水质监测可共享生态环境部门的监测数据，也可根据需要，按照SL 219在入库、出库等重要断面布设监测断面。土壤墒情监测可共享国家墒情站、地方墒情站的监测数据。 </w:t>
      </w:r>
    </w:p>
    <w:p w14:paraId="769F6D22">
      <w:pPr>
        <w:pStyle w:val="65"/>
        <w:spacing w:before="156" w:after="156"/>
      </w:pPr>
      <w:r>
        <w:rPr>
          <w:rFonts w:hint="eastAsia"/>
        </w:rPr>
        <w:t>通信网络</w:t>
      </w:r>
    </w:p>
    <w:p w14:paraId="1653D36F">
      <w:pPr>
        <w:pStyle w:val="164"/>
      </w:pPr>
      <w:r>
        <w:rPr>
          <w:rFonts w:hint="eastAsia"/>
        </w:rPr>
        <w:t xml:space="preserve">系统工程网络应按功能分为控制大区、管理区及外网连接区。控制大区网络宜分为实时控制区和非实时控制区（过程监控区），管理区网络宜分为生产管理区和管理信息区。 </w:t>
      </w:r>
    </w:p>
    <w:p w14:paraId="379A11DF">
      <w:pPr>
        <w:pStyle w:val="164"/>
      </w:pPr>
      <w:r>
        <w:rPr>
          <w:rFonts w:hint="eastAsia"/>
        </w:rPr>
        <w:t xml:space="preserve">应建设工程自动化控制系统，对工程闸门、泵站等重要工程进行自动化控制。工程自动化控制系统应具备运行监控功能，可通过数据外发、传感器检测、视觉识别、声纹监测等方式实现对被控制设备运转状态的实时监测。工程自动化控制系统可采用现场控制和远程控制，宜根据实际进行远程自动化控制升级改造。应加强工程自动化控制系统网络安全保护。 </w:t>
      </w:r>
    </w:p>
    <w:p w14:paraId="096F9DA7">
      <w:pPr>
        <w:pStyle w:val="65"/>
        <w:spacing w:before="156" w:after="156"/>
      </w:pPr>
      <w:r>
        <w:rPr>
          <w:rFonts w:hint="eastAsia"/>
        </w:rPr>
        <w:t>机房环境</w:t>
      </w:r>
    </w:p>
    <w:p w14:paraId="3AF0EB68">
      <w:pPr>
        <w:pStyle w:val="164"/>
      </w:pPr>
      <w:r>
        <w:rPr>
          <w:rFonts w:hint="eastAsia"/>
        </w:rPr>
        <w:t>应结合系统工程计算存储建设规模，扩充与优化机房环境。应根据机房重要性、机房使用性质及管理要求确定建设级别，并按照绿色智能等相关标准开展机房建设。</w:t>
      </w:r>
    </w:p>
    <w:p w14:paraId="62C3BF5B">
      <w:pPr>
        <w:pStyle w:val="164"/>
      </w:pPr>
      <w:r>
        <w:rPr>
          <w:rFonts w:hint="eastAsia"/>
        </w:rPr>
        <w:t xml:space="preserve">应配备空调、消防、门禁、环境监控等机房配套设施，宜配置消防室、配电室、备件室、运维监控室等机房配套区域。机房建设宜考虑后期设备增长，预留冗余空间。应制定相关机房管理制度及安全管理制度进行规范管理。 </w:t>
      </w:r>
    </w:p>
    <w:p w14:paraId="79AB06BB">
      <w:pPr>
        <w:pStyle w:val="65"/>
        <w:spacing w:before="156" w:after="156"/>
      </w:pPr>
      <w:r>
        <w:rPr>
          <w:rFonts w:hint="eastAsia"/>
        </w:rPr>
        <w:t>计算存储</w:t>
      </w:r>
    </w:p>
    <w:p w14:paraId="62D18596">
      <w:pPr>
        <w:pStyle w:val="56"/>
        <w:ind w:firstLine="420"/>
      </w:pPr>
      <w:r>
        <w:rPr>
          <w:rFonts w:hint="eastAsia"/>
        </w:rPr>
        <w:t xml:space="preserve">根据系统工程模型计算、“四预（预报、预警、预演、预案）”等高精度计算场景需求，在通用计算基础上，加强高性能计算能力的建设。根据系统工程模型训练、过程推理等场景计算需求，配备必要的AI算力。应建设完善本地备份系统，根据业务需要建设异地备份中心，异地备份中心可依托上级单位建设。计算存储资源宜在当前需求基础上预留冗余和发展空间，满足后续功能扩展升级需要。宜充分考虑汛期或出现其他突发情况时，现场计算能力不足的情况，可通过使用上级单位计算资源解决。 </w:t>
      </w:r>
    </w:p>
    <w:p w14:paraId="3B56B1EB">
      <w:pPr>
        <w:pStyle w:val="104"/>
        <w:spacing w:before="312" w:after="312"/>
      </w:pPr>
      <w:bookmarkStart w:id="111" w:name="_Toc177197743"/>
      <w:bookmarkStart w:id="112" w:name="_Toc176869225"/>
      <w:bookmarkStart w:id="113" w:name="_Toc176870935"/>
      <w:bookmarkStart w:id="114" w:name="_Toc178153329"/>
      <w:r>
        <w:rPr>
          <w:rFonts w:hint="eastAsia"/>
        </w:rPr>
        <w:t>典型站点</w:t>
      </w:r>
      <w:bookmarkEnd w:id="111"/>
      <w:bookmarkEnd w:id="112"/>
      <w:bookmarkEnd w:id="113"/>
      <w:bookmarkEnd w:id="114"/>
    </w:p>
    <w:p w14:paraId="30D74081">
      <w:pPr>
        <w:pStyle w:val="105"/>
        <w:spacing w:before="156" w:after="156"/>
      </w:pPr>
      <w:bookmarkStart w:id="115" w:name="_Toc178153330"/>
      <w:bookmarkStart w:id="116" w:name="_Toc176870936"/>
      <w:bookmarkStart w:id="117" w:name="_Toc177197744"/>
      <w:bookmarkStart w:id="118" w:name="_Toc176869226"/>
      <w:r>
        <w:rPr>
          <w:rFonts w:hint="eastAsia"/>
        </w:rPr>
        <w:t>一般规定</w:t>
      </w:r>
      <w:bookmarkEnd w:id="115"/>
      <w:bookmarkEnd w:id="116"/>
      <w:bookmarkEnd w:id="117"/>
      <w:bookmarkEnd w:id="118"/>
    </w:p>
    <w:p w14:paraId="2641501A">
      <w:pPr>
        <w:pStyle w:val="56"/>
        <w:ind w:firstLine="420"/>
      </w:pPr>
      <w:r>
        <w:rPr>
          <w:rFonts w:hint="eastAsia"/>
        </w:rPr>
        <w:t>典型站点的一般规定包括：</w:t>
      </w:r>
    </w:p>
    <w:p w14:paraId="0E817D63">
      <w:pPr>
        <w:pStyle w:val="132"/>
      </w:pPr>
      <w:r>
        <w:rPr>
          <w:rFonts w:hint="eastAsia"/>
        </w:rPr>
        <w:t>系统应具有完善的测量、控制、保护和监视功能，满足泵、闸站控制与调节、安全监视及生产运行管理等多方面的要求；</w:t>
      </w:r>
    </w:p>
    <w:p w14:paraId="679238BE">
      <w:pPr>
        <w:pStyle w:val="132"/>
      </w:pPr>
      <w:r>
        <w:rPr>
          <w:rFonts w:hint="eastAsia"/>
        </w:rPr>
        <w:t>系统宜按分层分布式结构设计，可分为中心调度层、分中心监控层、站级监控层、现地控制层；</w:t>
      </w:r>
    </w:p>
    <w:p w14:paraId="79F8996F">
      <w:pPr>
        <w:pStyle w:val="132"/>
      </w:pPr>
      <w:r>
        <w:rPr>
          <w:rFonts w:hint="eastAsia"/>
        </w:rPr>
        <w:t>泵、闸站计算机监控与信息系统应选用标准、通用的产品，满足系统维护、兼容、升级换代的要求；</w:t>
      </w:r>
    </w:p>
    <w:p w14:paraId="6B080156">
      <w:pPr>
        <w:pStyle w:val="132"/>
      </w:pPr>
      <w:r>
        <w:rPr>
          <w:rFonts w:hint="eastAsia"/>
        </w:rPr>
        <w:t>系统各单元应相对独立、智能化程度高、通用性好，支持多种标准化协议；</w:t>
      </w:r>
    </w:p>
    <w:p w14:paraId="161F8D4B">
      <w:pPr>
        <w:pStyle w:val="132"/>
      </w:pPr>
      <w:r>
        <w:rPr>
          <w:rFonts w:hint="eastAsia"/>
        </w:rPr>
        <w:t>泵、闸站计算机监控系统与信息管理系统之间应采取一定的安全措施，在数据共享的同时，确保各系统运行的安全，信息管理系统本身的故障不应影响泵站现场设备的正常运行；</w:t>
      </w:r>
    </w:p>
    <w:p w14:paraId="2996CA5D">
      <w:pPr>
        <w:pStyle w:val="132"/>
      </w:pPr>
      <w:r>
        <w:rPr>
          <w:rFonts w:hint="eastAsia"/>
        </w:rPr>
        <w:t>泵、闸站计算机监控与信息系统宜实现与上级管理部门数据共享；</w:t>
      </w:r>
    </w:p>
    <w:p w14:paraId="0F3E0D62">
      <w:pPr>
        <w:pStyle w:val="132"/>
      </w:pPr>
      <w:r>
        <w:rPr>
          <w:rFonts w:hint="eastAsia"/>
        </w:rPr>
        <w:t>大（1）型、大（2）型闸站要求配置计算机监控系统，中（1）型、中（2）型闸站根据实际需求选配。小（1）型、小（2）型闸站要求不独立配置计算机监控系统，要求预留远方控制接口。</w:t>
      </w:r>
    </w:p>
    <w:p w14:paraId="0DC8E66F">
      <w:pPr>
        <w:pStyle w:val="105"/>
        <w:spacing w:before="156" w:after="156"/>
      </w:pPr>
      <w:bookmarkStart w:id="119" w:name="_Toc177197745"/>
      <w:bookmarkStart w:id="120" w:name="_Toc176870937"/>
      <w:bookmarkStart w:id="121" w:name="_Toc178153331"/>
      <w:bookmarkStart w:id="122" w:name="_Toc176869227"/>
      <w:r>
        <w:rPr>
          <w:rFonts w:hint="eastAsia"/>
        </w:rPr>
        <w:t>泵站</w:t>
      </w:r>
      <w:bookmarkEnd w:id="119"/>
      <w:bookmarkEnd w:id="120"/>
      <w:bookmarkEnd w:id="121"/>
      <w:bookmarkEnd w:id="122"/>
    </w:p>
    <w:p w14:paraId="61194F38">
      <w:pPr>
        <w:pStyle w:val="65"/>
        <w:spacing w:before="156" w:after="156"/>
      </w:pPr>
      <w:r>
        <w:rPr>
          <w:rFonts w:hint="eastAsia"/>
        </w:rPr>
        <w:t>功能要求</w:t>
      </w:r>
    </w:p>
    <w:p w14:paraId="56CDA48D">
      <w:pPr>
        <w:pStyle w:val="56"/>
        <w:ind w:firstLine="420"/>
      </w:pPr>
      <w:r>
        <w:rPr>
          <w:rFonts w:hint="eastAsia"/>
        </w:rPr>
        <w:t>泵站的功能要求包括：</w:t>
      </w:r>
    </w:p>
    <w:p w14:paraId="469A239B">
      <w:pPr>
        <w:pStyle w:val="132"/>
      </w:pPr>
      <w:r>
        <w:rPr>
          <w:rFonts w:hint="eastAsia"/>
        </w:rPr>
        <w:t>泵站系统架构应划分不同层级；</w:t>
      </w:r>
    </w:p>
    <w:p w14:paraId="5A836169">
      <w:pPr>
        <w:pStyle w:val="132"/>
      </w:pPr>
      <w:r>
        <w:rPr>
          <w:rFonts w:hint="eastAsia"/>
        </w:rPr>
        <w:t>泵站系统应具备网络安全保护功能；</w:t>
      </w:r>
    </w:p>
    <w:p w14:paraId="049264AF">
      <w:pPr>
        <w:pStyle w:val="132"/>
      </w:pPr>
      <w:r>
        <w:rPr>
          <w:rFonts w:hint="eastAsia"/>
        </w:rPr>
        <w:t>控制单元应具备一键顺控、逻辑异常自动闭锁、故障告警功能；</w:t>
      </w:r>
    </w:p>
    <w:p w14:paraId="006EFD6D">
      <w:pPr>
        <w:pStyle w:val="132"/>
      </w:pPr>
      <w:r>
        <w:rPr>
          <w:rFonts w:hint="eastAsia"/>
        </w:rPr>
        <w:t>系统的控制方式应有明确权限区分；</w:t>
      </w:r>
    </w:p>
    <w:p w14:paraId="1A1A89B8">
      <w:pPr>
        <w:pStyle w:val="132"/>
      </w:pPr>
      <w:r>
        <w:rPr>
          <w:rFonts w:hint="eastAsia"/>
        </w:rPr>
        <w:t>为骨干调水工程提供通用标准稳定通讯接口。</w:t>
      </w:r>
    </w:p>
    <w:p w14:paraId="3F9242E0">
      <w:pPr>
        <w:pStyle w:val="65"/>
        <w:spacing w:before="156" w:after="156"/>
      </w:pPr>
      <w:r>
        <w:rPr>
          <w:rFonts w:hint="eastAsia"/>
        </w:rPr>
        <w:t>技术要求</w:t>
      </w:r>
    </w:p>
    <w:p w14:paraId="4D991437">
      <w:pPr>
        <w:pStyle w:val="164"/>
      </w:pPr>
      <w:r>
        <w:rPr>
          <w:rFonts w:hint="eastAsia"/>
        </w:rPr>
        <w:t>泵站的技术要求包括：</w:t>
      </w:r>
    </w:p>
    <w:p w14:paraId="280DD784">
      <w:pPr>
        <w:pStyle w:val="132"/>
      </w:pPr>
      <w:r>
        <w:rPr>
          <w:rFonts w:hint="eastAsia"/>
        </w:rPr>
        <w:t>泵站系统架构纵向宜划分为过程层、单元层和站控层；</w:t>
      </w:r>
    </w:p>
    <w:p w14:paraId="6210CA59">
      <w:pPr>
        <w:pStyle w:val="132"/>
      </w:pPr>
      <w:r>
        <w:rPr>
          <w:rFonts w:hint="eastAsia"/>
        </w:rPr>
        <w:t>应遵循安全分区、网络专用、横向隔离、纵向认证的原则；</w:t>
      </w:r>
    </w:p>
    <w:p w14:paraId="42E1BB90">
      <w:pPr>
        <w:pStyle w:val="132"/>
      </w:pPr>
      <w:r>
        <w:rPr>
          <w:rFonts w:hint="eastAsia"/>
        </w:rPr>
        <w:t>横向应划分为现场控制区、过程监控区、管理信息区和互联网区，现场控制区、过程监控区可合并，合并后网络安全等级保护应就高设置；</w:t>
      </w:r>
    </w:p>
    <w:p w14:paraId="348438B7">
      <w:pPr>
        <w:pStyle w:val="132"/>
      </w:pPr>
      <w:r>
        <w:rPr>
          <w:rFonts w:hint="eastAsia"/>
        </w:rPr>
        <w:t>现场控制区和过程监控区之间的通信应设置防火墙，与管理信息区之间的通信应设置单向物理隔离装置，管理信息区与互联网区之间的通信应设置防火墙；</w:t>
      </w:r>
    </w:p>
    <w:p w14:paraId="3F959CFD">
      <w:pPr>
        <w:pStyle w:val="132"/>
      </w:pPr>
      <w:r>
        <w:rPr>
          <w:rFonts w:hint="eastAsia"/>
        </w:rPr>
        <w:t>应采用工作可靠、结构简单、易于维护的通信网络架构，满足实时性和可靠性要求，必要时可采用双网冗余方式；</w:t>
      </w:r>
    </w:p>
    <w:p w14:paraId="7AE1AC4C">
      <w:pPr>
        <w:pStyle w:val="132"/>
      </w:pPr>
      <w:r>
        <w:rPr>
          <w:rFonts w:hint="eastAsia"/>
        </w:rPr>
        <w:t>泵站工程选用设备标准：先进、经济、实用、安全、可靠；</w:t>
      </w:r>
    </w:p>
    <w:p w14:paraId="23FF2CB9">
      <w:pPr>
        <w:pStyle w:val="132"/>
      </w:pPr>
      <w:r>
        <w:rPr>
          <w:rFonts w:hint="eastAsia"/>
        </w:rPr>
        <w:t>为骨干调水工程提供通用标准稳定通讯接口，建议接口有开放性生产控制和统一架构、消息队列遥测传输等；</w:t>
      </w:r>
    </w:p>
    <w:p w14:paraId="345FA7EE">
      <w:pPr>
        <w:pStyle w:val="132"/>
      </w:pPr>
      <w:r>
        <w:rPr>
          <w:rFonts w:hint="eastAsia"/>
        </w:rPr>
        <w:t>系统的控制方式分为五级，现地手动控制、现地控制单元、站控级三种控制方式采用切换应采用转换开关等硬件装置进行切换，分中心、中心则通过软开关进行切换。</w:t>
      </w:r>
    </w:p>
    <w:p w14:paraId="339FAF1D">
      <w:pPr>
        <w:pStyle w:val="164"/>
      </w:pPr>
      <w:r>
        <w:rPr>
          <w:rFonts w:hint="eastAsia"/>
        </w:rPr>
        <w:t>控制方式按优先级由高至低依次为：</w:t>
      </w:r>
    </w:p>
    <w:p w14:paraId="54FB2BB8">
      <w:pPr>
        <w:pStyle w:val="132"/>
      </w:pPr>
      <w:r>
        <w:rPr>
          <w:rFonts w:hint="eastAsia"/>
        </w:rPr>
        <w:t>现地手动控制：操作人员在设备现场通过按钮或者开关直接启动、停止设备；</w:t>
      </w:r>
    </w:p>
    <w:p w14:paraId="7F0E3E70">
      <w:pPr>
        <w:pStyle w:val="132"/>
      </w:pPr>
      <w:r>
        <w:rPr>
          <w:rFonts w:hint="eastAsia"/>
        </w:rPr>
        <w:t>现地控制单元控制：操作人员通过设置在现地控制单元内的人机接口（触摸屏）启动、停止设备，并能监视设备启动或者停止的过程；</w:t>
      </w:r>
    </w:p>
    <w:p w14:paraId="71EE8801">
      <w:pPr>
        <w:pStyle w:val="132"/>
      </w:pPr>
      <w:r>
        <w:rPr>
          <w:rFonts w:hint="eastAsia"/>
        </w:rPr>
        <w:t>站控级控制：操作人员在中控室内通过监控主机发布启动/停止设备的命令至现地控制单元，由现地控制单元完成相关控制操作。操作员可通过监控画面监视设备的启动或者停止过程。</w:t>
      </w:r>
    </w:p>
    <w:p w14:paraId="44FFB9D0">
      <w:pPr>
        <w:pStyle w:val="132"/>
      </w:pPr>
      <w:r>
        <w:rPr>
          <w:rFonts w:hint="eastAsia"/>
        </w:rPr>
        <w:t>分中心控制：应站控级授予分中心控制权限，站控级可收回控制权限。</w:t>
      </w:r>
    </w:p>
    <w:p w14:paraId="3BB89351">
      <w:pPr>
        <w:pStyle w:val="132"/>
      </w:pPr>
      <w:r>
        <w:rPr>
          <w:rFonts w:hint="eastAsia"/>
        </w:rPr>
        <w:t>中心控制：应站控级授予中心控制权限，站控级可收回控制权限。</w:t>
      </w:r>
    </w:p>
    <w:p w14:paraId="735B3204">
      <w:pPr>
        <w:pStyle w:val="164"/>
      </w:pPr>
      <w:r>
        <w:rPr>
          <w:rFonts w:hint="eastAsia"/>
        </w:rPr>
        <w:t>系统在正常情况下，控制方式为远方方式。即系统的缺省方式设置为远方方式。以下是远方方式下的系统控制方案：系统的控制首先依赖于用户对对泵、闸门控制权限的高低，其主要是由用户单位的监控等级决定的，一般通过权限管理软件来分配的。本系统的监控等级分为四级：中心、分中心、现地站控，控制权限优先级整体原则距离设备层距离越近，控制权限越高即现地手动＞现地控制单元控制（触摸屏）＞站控级＞分中心＞中心。</w:t>
      </w:r>
    </w:p>
    <w:p w14:paraId="64A4DFFE">
      <w:pPr>
        <w:pStyle w:val="105"/>
        <w:spacing w:before="156" w:after="156"/>
      </w:pPr>
      <w:bookmarkStart w:id="123" w:name="_Toc177197746"/>
      <w:bookmarkStart w:id="124" w:name="_Toc176869228"/>
      <w:bookmarkStart w:id="125" w:name="_Toc176870938"/>
      <w:bookmarkStart w:id="126" w:name="_Toc178153332"/>
      <w:r>
        <w:rPr>
          <w:rFonts w:hint="eastAsia"/>
        </w:rPr>
        <w:t>闸站</w:t>
      </w:r>
      <w:bookmarkEnd w:id="123"/>
      <w:bookmarkEnd w:id="124"/>
      <w:bookmarkEnd w:id="125"/>
      <w:bookmarkEnd w:id="126"/>
    </w:p>
    <w:p w14:paraId="34305BC8">
      <w:pPr>
        <w:pStyle w:val="65"/>
        <w:spacing w:before="156" w:after="156"/>
      </w:pPr>
      <w:r>
        <w:rPr>
          <w:rFonts w:hint="eastAsia"/>
        </w:rPr>
        <w:t>有站控级闸站功能要求</w:t>
      </w:r>
    </w:p>
    <w:p w14:paraId="7363F001">
      <w:pPr>
        <w:pStyle w:val="56"/>
        <w:ind w:firstLine="420"/>
      </w:pPr>
      <w:r>
        <w:rPr>
          <w:rFonts w:hint="eastAsia"/>
        </w:rPr>
        <w:t>有站控级闸站控制系统功能要求参照泵站功能要求。</w:t>
      </w:r>
    </w:p>
    <w:p w14:paraId="50A11D1E">
      <w:pPr>
        <w:pStyle w:val="65"/>
        <w:spacing w:before="156" w:after="156"/>
      </w:pPr>
      <w:r>
        <w:rPr>
          <w:rFonts w:hint="eastAsia"/>
        </w:rPr>
        <w:t>无站控级闸站功能要求</w:t>
      </w:r>
    </w:p>
    <w:p w14:paraId="4B2C5FE3">
      <w:pPr>
        <w:pStyle w:val="56"/>
        <w:ind w:firstLine="420"/>
      </w:pPr>
      <w:r>
        <w:rPr>
          <w:rFonts w:hint="eastAsia"/>
        </w:rPr>
        <w:t>闸站的无站控级闸站功能要求包括：</w:t>
      </w:r>
    </w:p>
    <w:p w14:paraId="71627115">
      <w:pPr>
        <w:pStyle w:val="132"/>
      </w:pPr>
      <w:r>
        <w:rPr>
          <w:rFonts w:hint="eastAsia"/>
        </w:rPr>
        <w:t>闸站有完整的动力系统以及控制单元，闸门控制单元要满足现场手动控制及现地控制单元（触摸屏）控制功能；</w:t>
      </w:r>
    </w:p>
    <w:p w14:paraId="1577255F">
      <w:pPr>
        <w:pStyle w:val="132"/>
      </w:pPr>
      <w:r>
        <w:rPr>
          <w:rFonts w:hint="eastAsia"/>
        </w:rPr>
        <w:t>控制单元要求对骨干调水工程其它控制层级提供标准接口。</w:t>
      </w:r>
    </w:p>
    <w:p w14:paraId="2EBDB718">
      <w:pPr>
        <w:pStyle w:val="65"/>
        <w:spacing w:before="156" w:after="156"/>
      </w:pPr>
      <w:r>
        <w:rPr>
          <w:rFonts w:hint="eastAsia"/>
        </w:rPr>
        <w:t>技术要求</w:t>
      </w:r>
    </w:p>
    <w:p w14:paraId="7BCD9BD4">
      <w:pPr>
        <w:pStyle w:val="56"/>
        <w:ind w:firstLine="420"/>
      </w:pPr>
      <w:r>
        <w:rPr>
          <w:rFonts w:hint="eastAsia"/>
        </w:rPr>
        <w:t>闸站的技术要求包括：</w:t>
      </w:r>
    </w:p>
    <w:p w14:paraId="3C0ACC0F">
      <w:pPr>
        <w:pStyle w:val="132"/>
      </w:pPr>
      <w:r>
        <w:rPr>
          <w:rFonts w:hint="eastAsia"/>
        </w:rPr>
        <w:t>闸门出现过载、故障或开启关闭过程中卡阻保护停机；</w:t>
      </w:r>
    </w:p>
    <w:p w14:paraId="03853ED0">
      <w:pPr>
        <w:pStyle w:val="132"/>
      </w:pPr>
      <w:r>
        <w:rPr>
          <w:rFonts w:hint="eastAsia"/>
        </w:rPr>
        <w:t>闸门开启关闭到指定开度时，可自动停机，防止闸门过度开启；</w:t>
      </w:r>
    </w:p>
    <w:p w14:paraId="339AAA27">
      <w:pPr>
        <w:pStyle w:val="132"/>
      </w:pPr>
      <w:r>
        <w:rPr>
          <w:rFonts w:hint="eastAsia"/>
        </w:rPr>
        <w:t>闸位计宜采用高精度绝对值编码器，精度应为±0.5</w:t>
      </w:r>
      <w:r>
        <w:t> </w:t>
      </w:r>
      <w:r>
        <w:rPr>
          <w:rFonts w:hint="eastAsia"/>
        </w:rPr>
        <w:t>mm。</w:t>
      </w:r>
    </w:p>
    <w:p w14:paraId="5E98BBC8">
      <w:pPr>
        <w:pStyle w:val="105"/>
        <w:spacing w:before="156" w:after="156"/>
      </w:pPr>
      <w:bookmarkStart w:id="127" w:name="_Toc177197747"/>
      <w:bookmarkStart w:id="128" w:name="_Toc176870939"/>
      <w:bookmarkStart w:id="129" w:name="_Toc176869229"/>
      <w:bookmarkStart w:id="130" w:name="_Toc178153333"/>
      <w:r>
        <w:rPr>
          <w:rFonts w:hint="eastAsia"/>
        </w:rPr>
        <w:t>其他</w:t>
      </w:r>
      <w:bookmarkEnd w:id="127"/>
      <w:bookmarkEnd w:id="128"/>
      <w:bookmarkEnd w:id="129"/>
      <w:bookmarkEnd w:id="130"/>
    </w:p>
    <w:p w14:paraId="6A98A6B5">
      <w:pPr>
        <w:pStyle w:val="65"/>
        <w:spacing w:before="156" w:after="156"/>
      </w:pPr>
      <w:r>
        <w:rPr>
          <w:rFonts w:hint="eastAsia"/>
        </w:rPr>
        <w:t>工程安全信息采集</w:t>
      </w:r>
    </w:p>
    <w:p w14:paraId="7B588089">
      <w:pPr>
        <w:pStyle w:val="56"/>
        <w:ind w:firstLine="420"/>
      </w:pPr>
      <w:r>
        <w:rPr>
          <w:rFonts w:hint="eastAsia"/>
        </w:rPr>
        <w:t>闸站的工程安全信息采集包括：</w:t>
      </w:r>
    </w:p>
    <w:p w14:paraId="6B7082A8">
      <w:pPr>
        <w:pStyle w:val="132"/>
      </w:pPr>
      <w:r>
        <w:rPr>
          <w:rFonts w:hint="eastAsia"/>
        </w:rPr>
        <w:t>宜利用物联网、北斗卫星等技术开展水工建筑物的变形监测；</w:t>
      </w:r>
    </w:p>
    <w:p w14:paraId="6E4333C2">
      <w:pPr>
        <w:pStyle w:val="132"/>
      </w:pPr>
      <w:r>
        <w:rPr>
          <w:rFonts w:hint="eastAsia"/>
        </w:rPr>
        <w:t>应具备数据自动分析和评价功能；</w:t>
      </w:r>
    </w:p>
    <w:p w14:paraId="6066FAA2">
      <w:pPr>
        <w:pStyle w:val="132"/>
      </w:pPr>
      <w:r>
        <w:rPr>
          <w:rFonts w:hint="eastAsia"/>
        </w:rPr>
        <w:t>应具备监测数据趋势预警功能。</w:t>
      </w:r>
    </w:p>
    <w:p w14:paraId="7EEBAE75">
      <w:pPr>
        <w:pStyle w:val="65"/>
        <w:spacing w:before="156" w:after="156"/>
      </w:pPr>
      <w:r>
        <w:rPr>
          <w:rFonts w:hint="eastAsia"/>
        </w:rPr>
        <w:t>视频监控</w:t>
      </w:r>
    </w:p>
    <w:p w14:paraId="538B20DD">
      <w:pPr>
        <w:pStyle w:val="56"/>
        <w:ind w:firstLine="420"/>
      </w:pPr>
      <w:r>
        <w:rPr>
          <w:rFonts w:hint="eastAsia"/>
        </w:rPr>
        <w:t>闸站的视频监控包括：</w:t>
      </w:r>
    </w:p>
    <w:p w14:paraId="2B85FC14">
      <w:pPr>
        <w:pStyle w:val="132"/>
      </w:pPr>
      <w:r>
        <w:rPr>
          <w:rFonts w:hint="eastAsia"/>
        </w:rPr>
        <w:t>应具备边缘计算及视频智能分析告警功能；</w:t>
      </w:r>
    </w:p>
    <w:p w14:paraId="4D74A879">
      <w:pPr>
        <w:pStyle w:val="132"/>
      </w:pPr>
      <w:r>
        <w:rPr>
          <w:rFonts w:hint="eastAsia"/>
        </w:rPr>
        <w:t>宜具备漂浮物、人员行为、车辆、水位、跑冒滴漏等智能识别功能；</w:t>
      </w:r>
    </w:p>
    <w:p w14:paraId="40EE6860">
      <w:pPr>
        <w:pStyle w:val="132"/>
      </w:pPr>
      <w:r>
        <w:rPr>
          <w:rFonts w:hint="eastAsia"/>
        </w:rPr>
        <w:t>应具备系统协同联动功能；</w:t>
      </w:r>
    </w:p>
    <w:p w14:paraId="37CE1D34">
      <w:pPr>
        <w:pStyle w:val="132"/>
      </w:pPr>
      <w:r>
        <w:rPr>
          <w:rFonts w:hint="eastAsia"/>
        </w:rPr>
        <w:t>应具备视频巡视功能。</w:t>
      </w:r>
    </w:p>
    <w:p w14:paraId="46DC314D">
      <w:pPr>
        <w:pStyle w:val="65"/>
        <w:spacing w:before="156" w:after="156"/>
      </w:pPr>
      <w:r>
        <w:rPr>
          <w:rFonts w:hint="eastAsia"/>
        </w:rPr>
        <w:t>水位监测</w:t>
      </w:r>
    </w:p>
    <w:p w14:paraId="08706677">
      <w:pPr>
        <w:pStyle w:val="56"/>
        <w:ind w:firstLine="420"/>
      </w:pPr>
      <w:r>
        <w:rPr>
          <w:rFonts w:hint="eastAsia"/>
        </w:rPr>
        <w:t>闸站的水位监测包括：</w:t>
      </w:r>
    </w:p>
    <w:p w14:paraId="76CBF10D">
      <w:pPr>
        <w:pStyle w:val="132"/>
      </w:pPr>
      <w:r>
        <w:rPr>
          <w:rFonts w:hint="eastAsia"/>
        </w:rPr>
        <w:t>水位传感器宜综合考虑水质、泥沙及冰冻的影响，可采用接触式或非接触式；</w:t>
      </w:r>
    </w:p>
    <w:p w14:paraId="0E1F716E">
      <w:pPr>
        <w:pStyle w:val="132"/>
      </w:pPr>
      <w:r>
        <w:rPr>
          <w:rFonts w:hint="eastAsia"/>
        </w:rPr>
        <w:t>测量精度应为±0.5</w:t>
      </w:r>
      <w:r>
        <w:t> </w:t>
      </w:r>
      <w:r>
        <w:rPr>
          <w:rFonts w:hint="eastAsia"/>
        </w:rPr>
        <w:t>mm，采集频率应具有可调性。</w:t>
      </w:r>
    </w:p>
    <w:p w14:paraId="608DEF46">
      <w:pPr>
        <w:pStyle w:val="65"/>
        <w:spacing w:before="156" w:after="156"/>
      </w:pPr>
      <w:r>
        <w:rPr>
          <w:rFonts w:hint="eastAsia"/>
        </w:rPr>
        <w:t>流量监测</w:t>
      </w:r>
    </w:p>
    <w:p w14:paraId="68B16C69">
      <w:pPr>
        <w:pStyle w:val="56"/>
        <w:ind w:firstLine="420"/>
      </w:pPr>
      <w:r>
        <w:rPr>
          <w:rFonts w:hint="eastAsia"/>
        </w:rPr>
        <w:t>闸站的流量监测包括：</w:t>
      </w:r>
    </w:p>
    <w:p w14:paraId="6B8C4E5D">
      <w:pPr>
        <w:pStyle w:val="132"/>
      </w:pPr>
      <w:r>
        <w:rPr>
          <w:rFonts w:hint="eastAsia"/>
        </w:rPr>
        <w:t>流量计量仪器可选用电磁流量计、超声波流量计、雷达式流量计等接触式或非接触式仪器；</w:t>
      </w:r>
    </w:p>
    <w:p w14:paraId="49FE056E">
      <w:pPr>
        <w:pStyle w:val="132"/>
      </w:pPr>
      <w:r>
        <w:rPr>
          <w:rFonts w:hint="eastAsia"/>
        </w:rPr>
        <w:t>计量精度应满足CJ/T 122及GB/T 28714的相关要求。</w:t>
      </w:r>
    </w:p>
    <w:p w14:paraId="7339E709">
      <w:pPr>
        <w:pStyle w:val="104"/>
        <w:spacing w:before="312" w:after="312"/>
      </w:pPr>
      <w:bookmarkStart w:id="131" w:name="_Toc176870940"/>
      <w:bookmarkStart w:id="132" w:name="_Toc177197748"/>
      <w:bookmarkStart w:id="133" w:name="_Toc176869230"/>
      <w:bookmarkStart w:id="134" w:name="_Toc178153334"/>
      <w:r>
        <w:rPr>
          <w:rFonts w:hint="eastAsia"/>
        </w:rPr>
        <w:t>网络安全</w:t>
      </w:r>
      <w:bookmarkEnd w:id="131"/>
      <w:bookmarkEnd w:id="132"/>
      <w:bookmarkEnd w:id="133"/>
      <w:bookmarkEnd w:id="134"/>
    </w:p>
    <w:p w14:paraId="00F5E4B5">
      <w:pPr>
        <w:pStyle w:val="105"/>
        <w:spacing w:before="156" w:after="156"/>
      </w:pPr>
      <w:bookmarkStart w:id="135" w:name="_Toc176870941"/>
      <w:bookmarkStart w:id="136" w:name="_Toc176869231"/>
      <w:bookmarkStart w:id="137" w:name="_Toc178153335"/>
      <w:bookmarkStart w:id="138" w:name="_Toc177197749"/>
      <w:r>
        <w:rPr>
          <w:rFonts w:hint="eastAsia"/>
        </w:rPr>
        <w:t>一般要求</w:t>
      </w:r>
      <w:bookmarkEnd w:id="135"/>
      <w:bookmarkEnd w:id="136"/>
      <w:bookmarkEnd w:id="137"/>
      <w:bookmarkEnd w:id="138"/>
    </w:p>
    <w:p w14:paraId="76FEC603">
      <w:pPr>
        <w:pStyle w:val="165"/>
      </w:pPr>
      <w:r>
        <w:rPr>
          <w:rFonts w:hint="eastAsia"/>
        </w:rPr>
        <w:t xml:space="preserve">应依据SL/T 803和SL/T 809标准规范，构建完善的网络安全组织管理体系、安全技术体系、安全运营体系和监督检查体系，加强数据安全保护，全面保障系统工程系统安全和数据安全。 </w:t>
      </w:r>
    </w:p>
    <w:p w14:paraId="4CEC1F59">
      <w:pPr>
        <w:pStyle w:val="165"/>
      </w:pPr>
      <w:r>
        <w:rPr>
          <w:rFonts w:hint="eastAsia"/>
        </w:rPr>
        <w:t xml:space="preserve">系统工程应根据系统受到破坏时受侵害的客体和对客体的侵害程度确定系统等级。大型和重要中型水利工程的系统工程系统网络安全等级保护等级原则上应不低于第三级，应按照相应等级要求开展定级、备案、建设、整改、测评。应按照GB/T 39786标准规范，同步开展密码应用，并进行密码应用安全性评估。列为水利关键信息基础设施的系统工程应在等级保护基础上，强化安全措施，落实关键信息基础设施保护相关要求，实施重点保护。 </w:t>
      </w:r>
    </w:p>
    <w:p w14:paraId="64604298">
      <w:pPr>
        <w:pStyle w:val="105"/>
        <w:spacing w:before="156" w:after="156"/>
      </w:pPr>
      <w:bookmarkStart w:id="139" w:name="_Toc176870942"/>
      <w:bookmarkStart w:id="140" w:name="_Toc176869232"/>
      <w:bookmarkStart w:id="141" w:name="_Toc178153336"/>
      <w:bookmarkStart w:id="142" w:name="_Toc177197750"/>
      <w:r>
        <w:rPr>
          <w:rFonts w:hint="eastAsia"/>
        </w:rPr>
        <w:t>组织管理</w:t>
      </w:r>
      <w:bookmarkEnd w:id="139"/>
      <w:bookmarkEnd w:id="140"/>
      <w:bookmarkEnd w:id="141"/>
      <w:bookmarkEnd w:id="142"/>
    </w:p>
    <w:p w14:paraId="3C4FCC0D">
      <w:pPr>
        <w:pStyle w:val="165"/>
      </w:pPr>
      <w:r>
        <w:rPr>
          <w:rFonts w:hint="eastAsia"/>
        </w:rPr>
        <w:t>应落实系统工程网络安全管理机构和人员，具体负责网络安全保护工作。应落实网络安全责任制，明确网络安全管理机构、业务部门等相关主体的安全责任，落实责任分工，建立责任清单。</w:t>
      </w:r>
    </w:p>
    <w:p w14:paraId="2D5684E8">
      <w:pPr>
        <w:pStyle w:val="165"/>
      </w:pPr>
      <w:r>
        <w:rPr>
          <w:rFonts w:hint="eastAsia"/>
        </w:rPr>
        <w:t xml:space="preserve">应建立供应链安全管理制度，严格软硬件、开发单位、设计单位、集成单位、运行维护单位和人员的管理；优先采购安全可信的网络产品和服务，采购网络产品和服务可能影响国家安全的，应按照国家网络安全规定进行安全审查。 </w:t>
      </w:r>
    </w:p>
    <w:p w14:paraId="51F8B70A">
      <w:pPr>
        <w:pStyle w:val="105"/>
        <w:spacing w:before="156" w:after="156"/>
      </w:pPr>
      <w:bookmarkStart w:id="143" w:name="_Toc176869233"/>
      <w:bookmarkStart w:id="144" w:name="_Toc176870943"/>
      <w:bookmarkStart w:id="145" w:name="_Toc177197751"/>
      <w:bookmarkStart w:id="146" w:name="_Toc178153337"/>
      <w:r>
        <w:rPr>
          <w:rFonts w:hint="eastAsia"/>
        </w:rPr>
        <w:t>安全技术</w:t>
      </w:r>
      <w:bookmarkEnd w:id="143"/>
      <w:bookmarkEnd w:id="144"/>
      <w:bookmarkEnd w:id="145"/>
      <w:bookmarkEnd w:id="146"/>
    </w:p>
    <w:p w14:paraId="36A22202">
      <w:pPr>
        <w:pStyle w:val="65"/>
        <w:spacing w:before="156" w:after="156"/>
      </w:pPr>
      <w:r>
        <w:rPr>
          <w:rFonts w:hint="eastAsia"/>
        </w:rPr>
        <w:t>纵深防御</w:t>
      </w:r>
    </w:p>
    <w:p w14:paraId="480E0183">
      <w:pPr>
        <w:pStyle w:val="56"/>
        <w:ind w:firstLine="420"/>
      </w:pPr>
      <w:r>
        <w:rPr>
          <w:rFonts w:hint="eastAsia"/>
        </w:rPr>
        <w:t>应按照网络安全等级保护相应等级要求开展安全物理环境、安全通信网络、安全区域边界和安全计算环境建设。存在工控系统、云计算环境、移动互联和物联网应用的，应在以上基础上分别落实工控系统、云与虚拟化、移动互联和物联网扩展安全要求。</w:t>
      </w:r>
    </w:p>
    <w:p w14:paraId="2454645E">
      <w:pPr>
        <w:pStyle w:val="65"/>
        <w:spacing w:before="156" w:after="156"/>
      </w:pPr>
      <w:r>
        <w:rPr>
          <w:rFonts w:hint="eastAsia"/>
        </w:rPr>
        <w:t>监测预警</w:t>
      </w:r>
    </w:p>
    <w:p w14:paraId="3C56CD8D">
      <w:pPr>
        <w:pStyle w:val="56"/>
        <w:ind w:firstLine="420"/>
      </w:pPr>
      <w:r>
        <w:rPr>
          <w:rFonts w:hint="eastAsia"/>
        </w:rPr>
        <w:t>应通过安全数据采集、多源数据关联分析、威胁情报联动等手段，准确发现识别网络威胁和内部脆弱性。</w:t>
      </w:r>
    </w:p>
    <w:p w14:paraId="2F16BD53">
      <w:pPr>
        <w:pStyle w:val="65"/>
        <w:spacing w:before="156" w:after="156"/>
      </w:pPr>
      <w:r>
        <w:rPr>
          <w:rFonts w:hint="eastAsia"/>
        </w:rPr>
        <w:t>应急响应</w:t>
      </w:r>
    </w:p>
    <w:p w14:paraId="24DE1B84">
      <w:pPr>
        <w:pStyle w:val="56"/>
        <w:ind w:firstLine="420"/>
      </w:pPr>
      <w:r>
        <w:rPr>
          <w:rFonts w:hint="eastAsia"/>
        </w:rPr>
        <w:t>宜具备网络安全事件研判分析、事件响应处置、应急预案管理和网络安全设备或系统管理功能的网络安全应急决策指挥平台，可对网络攻击、内部漏洞等网络安全事件进行全过程管理，包括事件发现、分析研判、事件确定、指挥处置、分析优化等过程。</w:t>
      </w:r>
    </w:p>
    <w:p w14:paraId="0C8372C6">
      <w:pPr>
        <w:pStyle w:val="105"/>
        <w:spacing w:before="156" w:after="156"/>
      </w:pPr>
      <w:bookmarkStart w:id="147" w:name="_Toc176869234"/>
      <w:bookmarkStart w:id="148" w:name="_Toc177197752"/>
      <w:bookmarkStart w:id="149" w:name="_Toc176870944"/>
      <w:bookmarkStart w:id="150" w:name="_Toc178153338"/>
      <w:r>
        <w:rPr>
          <w:rFonts w:hint="eastAsia"/>
        </w:rPr>
        <w:t>安全运营</w:t>
      </w:r>
      <w:bookmarkEnd w:id="147"/>
      <w:bookmarkEnd w:id="148"/>
      <w:bookmarkEnd w:id="149"/>
      <w:bookmarkEnd w:id="150"/>
    </w:p>
    <w:p w14:paraId="1DD211A4">
      <w:pPr>
        <w:pStyle w:val="65"/>
        <w:spacing w:before="156" w:after="156"/>
      </w:pPr>
      <w:r>
        <w:rPr>
          <w:rFonts w:hint="eastAsia"/>
        </w:rPr>
        <w:t>运营架构</w:t>
      </w:r>
    </w:p>
    <w:p w14:paraId="61A15EF9">
      <w:pPr>
        <w:pStyle w:val="56"/>
        <w:ind w:firstLine="420"/>
      </w:pPr>
      <w:r>
        <w:rPr>
          <w:rFonts w:hint="eastAsia"/>
        </w:rPr>
        <w:t xml:space="preserve">应对各类安全资源进行有效的管理控制，从威胁预防、威胁防护、安全监测、响应处置等方面，建立闭环的安全运营体系。 </w:t>
      </w:r>
    </w:p>
    <w:p w14:paraId="1509F9B6">
      <w:pPr>
        <w:pStyle w:val="65"/>
        <w:spacing w:before="156" w:after="156"/>
      </w:pPr>
      <w:r>
        <w:rPr>
          <w:rFonts w:hint="eastAsia"/>
        </w:rPr>
        <w:t>权限管控</w:t>
      </w:r>
    </w:p>
    <w:p w14:paraId="66DD29F0">
      <w:pPr>
        <w:pStyle w:val="56"/>
        <w:ind w:firstLine="420"/>
      </w:pPr>
      <w:r>
        <w:rPr>
          <w:rFonts w:hint="eastAsia"/>
        </w:rPr>
        <w:t>应对各类安全设备、安全系统、安全资源建立系统管理员、安全管理员、审计管理员账户，并赋予相应权限。</w:t>
      </w:r>
    </w:p>
    <w:p w14:paraId="13EB7ECE">
      <w:pPr>
        <w:pStyle w:val="65"/>
        <w:spacing w:before="156" w:after="156"/>
      </w:pPr>
      <w:r>
        <w:rPr>
          <w:rFonts w:hint="eastAsia"/>
        </w:rPr>
        <w:t>体系流程</w:t>
      </w:r>
    </w:p>
    <w:p w14:paraId="6A6D357C">
      <w:pPr>
        <w:pStyle w:val="56"/>
        <w:ind w:firstLine="420"/>
      </w:pPr>
      <w:r>
        <w:rPr>
          <w:rFonts w:hint="eastAsia"/>
        </w:rPr>
        <w:t>应对各类网络安全事件的运营活动制订符合实际的体系流程，制定网络安全应急预案，并定期进行应急演练。</w:t>
      </w:r>
    </w:p>
    <w:p w14:paraId="64F934CC">
      <w:pPr>
        <w:pStyle w:val="65"/>
        <w:spacing w:before="156" w:after="156"/>
      </w:pPr>
      <w:r>
        <w:rPr>
          <w:rFonts w:hint="eastAsia"/>
        </w:rPr>
        <w:t>威胁防护</w:t>
      </w:r>
    </w:p>
    <w:p w14:paraId="222FB6AD">
      <w:pPr>
        <w:pStyle w:val="56"/>
        <w:ind w:firstLine="420"/>
      </w:pPr>
      <w:r>
        <w:rPr>
          <w:rFonts w:hint="eastAsia"/>
        </w:rPr>
        <w:t xml:space="preserve">应对主机系统、网络设备、业务应用制定必要的安全基线并进行评估加固。应开展安全产品和系统运行维护、安全审计日志分析及配置备份更新等，保障安全产品高效可靠的运行。宜开展系统上线前及运行中周期性安全评估，通过代码检测、渗透测试、漏洞检测发现系统中存在的安全风险。 </w:t>
      </w:r>
    </w:p>
    <w:p w14:paraId="7B5F032F">
      <w:pPr>
        <w:pStyle w:val="65"/>
        <w:spacing w:before="156" w:after="156"/>
      </w:pPr>
      <w:r>
        <w:rPr>
          <w:rFonts w:hint="eastAsia"/>
        </w:rPr>
        <w:t>安全监测</w:t>
      </w:r>
    </w:p>
    <w:p w14:paraId="45FE8D4A">
      <w:pPr>
        <w:pStyle w:val="56"/>
        <w:ind w:firstLine="420"/>
      </w:pPr>
      <w:r>
        <w:rPr>
          <w:rFonts w:hint="eastAsia"/>
        </w:rPr>
        <w:t xml:space="preserve">应持续开展应用失陷检测，发现存在的各类漏洞并进行验证，经确认后及时整改。宜不断优化安全监测预警，发现异常违规及可疑攻击，及时产生告警，并通过人工及风险识别工具进行风险评估。 </w:t>
      </w:r>
    </w:p>
    <w:p w14:paraId="4901FFEC">
      <w:pPr>
        <w:pStyle w:val="65"/>
        <w:spacing w:before="156" w:after="156"/>
      </w:pPr>
      <w:r>
        <w:rPr>
          <w:rFonts w:hint="eastAsia"/>
        </w:rPr>
        <w:t>响应处置</w:t>
      </w:r>
    </w:p>
    <w:p w14:paraId="6BEEFA66">
      <w:pPr>
        <w:pStyle w:val="56"/>
        <w:ind w:firstLine="420"/>
      </w:pPr>
      <w:r>
        <w:rPr>
          <w:rFonts w:hint="eastAsia"/>
        </w:rPr>
        <w:t>应从事件控制的角度，对出现的安全事件，开展安全事件研判分析，为安全应急响应提供决策依据；对重大安全事件，应直接按照应急预案启动应急响应。安全应急响应处置时，应进行抑制、清除、恢复等动作并形成处置报告；对真实告警事件，视分析研判结果，进行自动化处置或通过通报流程进行人工处置，同时进行溯源和取证。</w:t>
      </w:r>
    </w:p>
    <w:p w14:paraId="771291BE">
      <w:pPr>
        <w:pStyle w:val="65"/>
        <w:spacing w:before="156" w:after="156"/>
      </w:pPr>
      <w:r>
        <w:rPr>
          <w:rFonts w:hint="eastAsia"/>
        </w:rPr>
        <w:t>威胁预防</w:t>
      </w:r>
    </w:p>
    <w:p w14:paraId="286B6F7D">
      <w:pPr>
        <w:pStyle w:val="164"/>
      </w:pPr>
      <w:r>
        <w:rPr>
          <w:rFonts w:hint="eastAsia"/>
        </w:rPr>
        <w:t xml:space="preserve">应通过威胁情报收集安全漏洞、风险预警等信息；经审核验证确认后，应及时推送给相关用户，实现安全威胁预警。在重要时间节点前应开展主机、网络、应用、终端的安全检查，发现问题及时整改，并在重要时期安排技术人员安全值守保障全程安全。 </w:t>
      </w:r>
    </w:p>
    <w:p w14:paraId="41B05FD7">
      <w:pPr>
        <w:pStyle w:val="164"/>
      </w:pPr>
      <w:r>
        <w:rPr>
          <w:rFonts w:hint="eastAsia"/>
        </w:rPr>
        <w:t xml:space="preserve">在重要时间节点前宜开展攻防演练、渗透测试等演练，检验安全技术、管理、运营体系的健壮性，应对重要时期安全保障要求。 </w:t>
      </w:r>
    </w:p>
    <w:p w14:paraId="26BB301B">
      <w:pPr>
        <w:pStyle w:val="105"/>
        <w:spacing w:before="156" w:after="156"/>
      </w:pPr>
      <w:bookmarkStart w:id="151" w:name="_Toc176869235"/>
      <w:bookmarkStart w:id="152" w:name="_Toc176870945"/>
      <w:bookmarkStart w:id="153" w:name="_Toc177197753"/>
      <w:bookmarkStart w:id="154" w:name="_Toc178153339"/>
      <w:r>
        <w:rPr>
          <w:rFonts w:hint="eastAsia"/>
        </w:rPr>
        <w:t>监督检查</w:t>
      </w:r>
      <w:bookmarkEnd w:id="151"/>
      <w:bookmarkEnd w:id="152"/>
      <w:bookmarkEnd w:id="153"/>
      <w:bookmarkEnd w:id="154"/>
    </w:p>
    <w:p w14:paraId="13025D58">
      <w:pPr>
        <w:pStyle w:val="165"/>
      </w:pPr>
      <w:r>
        <w:rPr>
          <w:rFonts w:hint="eastAsia"/>
        </w:rPr>
        <w:t>应强化网络安全监督检查，定期对系统工程进行管理和技术的安全检测评估，掌握风险漏洞情况，并对在安全保护中履责不力的单位和个人进行责任追究。</w:t>
      </w:r>
    </w:p>
    <w:p w14:paraId="1FAA00B1">
      <w:pPr>
        <w:pStyle w:val="165"/>
      </w:pPr>
      <w:r>
        <w:rPr>
          <w:rFonts w:hint="eastAsia"/>
        </w:rPr>
        <w:t xml:space="preserve">应主动配合部门组织开展的网络安全监督检查。 </w:t>
      </w:r>
    </w:p>
    <w:p w14:paraId="75946844">
      <w:pPr>
        <w:pStyle w:val="105"/>
        <w:spacing w:before="156" w:after="156"/>
      </w:pPr>
      <w:bookmarkStart w:id="155" w:name="_Toc176869236"/>
      <w:bookmarkStart w:id="156" w:name="_Toc176870946"/>
      <w:bookmarkStart w:id="157" w:name="_Toc177197754"/>
      <w:bookmarkStart w:id="158" w:name="_Toc178153340"/>
      <w:r>
        <w:rPr>
          <w:rFonts w:hint="eastAsia"/>
        </w:rPr>
        <w:t>数据安全</w:t>
      </w:r>
      <w:bookmarkEnd w:id="155"/>
      <w:bookmarkEnd w:id="156"/>
      <w:bookmarkEnd w:id="157"/>
      <w:bookmarkEnd w:id="158"/>
    </w:p>
    <w:p w14:paraId="15EF4CAD">
      <w:pPr>
        <w:pStyle w:val="165"/>
      </w:pPr>
      <w:r>
        <w:rPr>
          <w:rFonts w:hint="eastAsia"/>
        </w:rPr>
        <w:t>应开展数据分类分级，识别和建立一般、重要、核心业务数据清单，严格权限资源控制。</w:t>
      </w:r>
    </w:p>
    <w:p w14:paraId="1AEFF8C2">
      <w:pPr>
        <w:pStyle w:val="165"/>
      </w:pPr>
      <w:r>
        <w:rPr>
          <w:rFonts w:hint="eastAsia"/>
        </w:rPr>
        <w:t>应充分利用密码技术等手段，确保重要业务数据的静态存储安全和动态传输安全，不被非法访问、窃取、删除、修改等。</w:t>
      </w:r>
    </w:p>
    <w:p w14:paraId="33FB9BC8">
      <w:pPr>
        <w:pStyle w:val="165"/>
      </w:pPr>
      <w:r>
        <w:rPr>
          <w:rFonts w:hint="eastAsia"/>
        </w:rPr>
        <w:t>应采用身份鉴别、访问控制、安全传输、操作抗抵赖、过程追溯等技术确保数据交换共享过程安全。</w:t>
      </w:r>
    </w:p>
    <w:p w14:paraId="0191779E">
      <w:pPr>
        <w:pStyle w:val="165"/>
      </w:pPr>
      <w:r>
        <w:rPr>
          <w:rFonts w:hint="eastAsia"/>
        </w:rPr>
        <w:t>应规定数据最小化访问原则，不同网络区域之间的数据共享应采用网闸，应严格重要数据的访问范围，采用数据库审计对数据库操作进行记录分析研判。</w:t>
      </w:r>
    </w:p>
    <w:p w14:paraId="71228F23">
      <w:pPr>
        <w:pStyle w:val="165"/>
      </w:pPr>
      <w:r>
        <w:rPr>
          <w:rFonts w:hint="eastAsia"/>
        </w:rPr>
        <w:t xml:space="preserve">应定期对关键业务数据进行备份，实现重要数据备份与恢复。宜开展数据安全风险监控，全面监控数据收集、存储、使用、加工、传输、提供、公开等全生命周期安全。 </w:t>
      </w:r>
    </w:p>
    <w:p w14:paraId="1C4F7A8F">
      <w:pPr>
        <w:pStyle w:val="104"/>
        <w:spacing w:before="312" w:after="312"/>
      </w:pPr>
      <w:bookmarkStart w:id="159" w:name="_Toc176870947"/>
      <w:bookmarkStart w:id="160" w:name="_Toc177197755"/>
      <w:bookmarkStart w:id="161" w:name="_Toc176869237"/>
      <w:bookmarkStart w:id="162" w:name="_Toc178153341"/>
      <w:r>
        <w:rPr>
          <w:rFonts w:hint="eastAsia"/>
        </w:rPr>
        <w:t>保障体系</w:t>
      </w:r>
      <w:bookmarkEnd w:id="159"/>
      <w:bookmarkEnd w:id="160"/>
      <w:bookmarkEnd w:id="161"/>
      <w:bookmarkEnd w:id="162"/>
    </w:p>
    <w:p w14:paraId="1D039533">
      <w:pPr>
        <w:pStyle w:val="105"/>
        <w:spacing w:before="156" w:after="156"/>
      </w:pPr>
      <w:bookmarkStart w:id="163" w:name="_Toc176869238"/>
      <w:bookmarkStart w:id="164" w:name="_Toc176870948"/>
      <w:bookmarkStart w:id="165" w:name="_Toc177197756"/>
      <w:bookmarkStart w:id="166" w:name="_Toc178153342"/>
      <w:r>
        <w:rPr>
          <w:rFonts w:hint="eastAsia"/>
        </w:rPr>
        <w:t>标准规范</w:t>
      </w:r>
      <w:bookmarkEnd w:id="163"/>
      <w:bookmarkEnd w:id="164"/>
      <w:bookmarkEnd w:id="165"/>
      <w:bookmarkEnd w:id="166"/>
    </w:p>
    <w:p w14:paraId="138637E1">
      <w:pPr>
        <w:pStyle w:val="56"/>
        <w:ind w:firstLine="420"/>
      </w:pPr>
      <w:r>
        <w:rPr>
          <w:rFonts w:hint="eastAsia"/>
        </w:rPr>
        <w:t>按照国家、水利及相关行业标准规范，制定硬件集成、数据集成、软件集成、门户集成等企业标准规范，实现规划、设计、建设、运行等各阶段的协调统一。</w:t>
      </w:r>
    </w:p>
    <w:p w14:paraId="33081F6E">
      <w:pPr>
        <w:pStyle w:val="105"/>
        <w:spacing w:before="156" w:after="156"/>
      </w:pPr>
      <w:bookmarkStart w:id="167" w:name="_Toc178153343"/>
      <w:bookmarkStart w:id="168" w:name="_Toc176869239"/>
      <w:bookmarkStart w:id="169" w:name="_Toc176870949"/>
      <w:bookmarkStart w:id="170" w:name="_Toc177197757"/>
      <w:r>
        <w:rPr>
          <w:rFonts w:hint="eastAsia"/>
        </w:rPr>
        <w:t>管理制度</w:t>
      </w:r>
      <w:bookmarkEnd w:id="167"/>
      <w:bookmarkEnd w:id="168"/>
      <w:bookmarkEnd w:id="169"/>
      <w:bookmarkEnd w:id="170"/>
    </w:p>
    <w:p w14:paraId="0D50D894">
      <w:pPr>
        <w:pStyle w:val="56"/>
        <w:ind w:firstLine="420"/>
      </w:pPr>
      <w:r>
        <w:rPr>
          <w:rFonts w:hint="eastAsia"/>
        </w:rPr>
        <w:t xml:space="preserve">围绕系统工程典型应用，衔接实体工程、信息化基础设施、系统平台、网络安全体系、保障体系的相关组织机构、人员，建立数据、设施、运维、应用等方面的管理制度。 </w:t>
      </w:r>
    </w:p>
    <w:p w14:paraId="78E7CFC8">
      <w:pPr>
        <w:pStyle w:val="105"/>
        <w:spacing w:before="156" w:after="156"/>
      </w:pPr>
      <w:bookmarkStart w:id="171" w:name="_Toc176870950"/>
      <w:bookmarkStart w:id="172" w:name="_Toc176869240"/>
      <w:bookmarkStart w:id="173" w:name="_Toc177197758"/>
      <w:bookmarkStart w:id="174" w:name="_Toc178153344"/>
      <w:r>
        <w:rPr>
          <w:rFonts w:hint="eastAsia"/>
        </w:rPr>
        <w:t>运维保障</w:t>
      </w:r>
      <w:bookmarkEnd w:id="171"/>
      <w:bookmarkEnd w:id="172"/>
      <w:bookmarkEnd w:id="173"/>
      <w:bookmarkEnd w:id="174"/>
    </w:p>
    <w:p w14:paraId="60C4D328">
      <w:pPr>
        <w:pStyle w:val="56"/>
        <w:ind w:firstLine="420"/>
      </w:pPr>
      <w:r>
        <w:rPr>
          <w:rFonts w:hint="eastAsia"/>
        </w:rPr>
        <w:t xml:space="preserve">围绕系统工程系统平台、信息化基础设施、典型应用等运维管理需求，利用大数据、AI、可视化、VR等新技术，构建一体化综合智慧运维系统，实现运维对象全覆盖、运维人员全覆盖、运维流程全覆盖，运维状态可视化、运维预警精准化、运维处置自动化、运维决策数据化。 </w:t>
      </w:r>
    </w:p>
    <w:p w14:paraId="6C8AC41E">
      <w:pPr>
        <w:pStyle w:val="56"/>
        <w:ind w:firstLine="420"/>
      </w:pPr>
    </w:p>
    <w:p w14:paraId="66F7D65D">
      <w:pPr>
        <w:pStyle w:val="56"/>
        <w:ind w:firstLine="420"/>
      </w:pPr>
    </w:p>
    <w:p w14:paraId="7622986A">
      <w:pPr>
        <w:pStyle w:val="56"/>
        <w:ind w:firstLine="420"/>
        <w:sectPr>
          <w:pgSz w:w="11906" w:h="16838"/>
          <w:pgMar w:top="567" w:right="1134" w:bottom="1134" w:left="1134" w:header="1418" w:footer="1134" w:gutter="284"/>
          <w:pgNumType w:start="1"/>
          <w:cols w:space="425" w:num="1"/>
          <w:formProt w:val="0"/>
          <w:docGrid w:type="lines" w:linePitch="312" w:charSpace="0"/>
        </w:sectPr>
      </w:pPr>
    </w:p>
    <w:bookmarkEnd w:id="25"/>
    <w:p w14:paraId="0640332E">
      <w:pPr>
        <w:pStyle w:val="198"/>
        <w:rPr>
          <w:vanish w:val="0"/>
        </w:rPr>
      </w:pPr>
      <w:bookmarkStart w:id="175" w:name="BookMark5"/>
    </w:p>
    <w:p w14:paraId="6C0676CA">
      <w:pPr>
        <w:pStyle w:val="199"/>
        <w:rPr>
          <w:vanish w:val="0"/>
        </w:rPr>
      </w:pPr>
    </w:p>
    <w:p w14:paraId="01229EF0">
      <w:pPr>
        <w:pStyle w:val="76"/>
        <w:spacing w:before="78" w:after="156"/>
        <w:rPr>
          <w:rFonts w:hint="eastAsia"/>
        </w:rPr>
      </w:pPr>
      <w:r>
        <w:br w:type="textWrapping"/>
      </w:r>
      <w:bookmarkStart w:id="176" w:name="_Toc178153345"/>
      <w:r>
        <w:rPr>
          <w:rFonts w:hint="eastAsia"/>
        </w:rPr>
        <w:t>（资料性）</w:t>
      </w:r>
      <w:r>
        <w:br w:type="textWrapping"/>
      </w:r>
      <w:r>
        <w:rPr>
          <w:rFonts w:hint="eastAsia"/>
        </w:rPr>
        <w:t>骨干水网信息化建设过程表</w:t>
      </w:r>
      <w:bookmarkEnd w:id="176"/>
    </w:p>
    <w:p w14:paraId="7E0E0A64">
      <w:pPr>
        <w:pStyle w:val="78"/>
        <w:spacing w:before="156" w:after="156"/>
      </w:pPr>
      <w:bookmarkStart w:id="177" w:name="_Toc178153346"/>
      <w:r>
        <w:rPr>
          <w:rFonts w:hint="eastAsia"/>
        </w:rPr>
        <w:t>工程基础采集</w:t>
      </w:r>
      <w:bookmarkEnd w:id="177"/>
    </w:p>
    <w:p w14:paraId="257623C9">
      <w:pPr>
        <w:pStyle w:val="56"/>
        <w:ind w:firstLine="420"/>
      </w:pPr>
      <w:r>
        <w:rPr>
          <w:rFonts w:hint="eastAsia"/>
        </w:rPr>
        <w:t>骨干水网信息化建设过程中，工程基础数据的采集见表A.1。</w:t>
      </w:r>
    </w:p>
    <w:p w14:paraId="1EF3CFE7">
      <w:pPr>
        <w:pStyle w:val="77"/>
        <w:spacing w:before="156" w:after="156"/>
      </w:pPr>
      <w:r>
        <w:rPr>
          <w:rFonts w:hint="eastAsia"/>
        </w:rPr>
        <w:t>工程基础采集表</w:t>
      </w:r>
    </w:p>
    <w:tbl>
      <w:tblPr>
        <w:tblStyle w:val="26"/>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805"/>
        <w:gridCol w:w="1060"/>
        <w:gridCol w:w="1060"/>
        <w:gridCol w:w="805"/>
        <w:gridCol w:w="831"/>
        <w:gridCol w:w="844"/>
        <w:gridCol w:w="770"/>
        <w:gridCol w:w="1060"/>
        <w:gridCol w:w="1060"/>
        <w:gridCol w:w="1079"/>
      </w:tblGrid>
      <w:tr w14:paraId="1F7AFC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9" w:type="pct"/>
            <w:vMerge w:val="restart"/>
            <w:tcBorders>
              <w:top w:val="single" w:color="auto" w:sz="8" w:space="0"/>
              <w:left w:val="single" w:color="auto" w:sz="8" w:space="0"/>
              <w:bottom w:val="single" w:color="auto" w:sz="8" w:space="0"/>
            </w:tcBorders>
            <w:shd w:val="clear" w:color="auto" w:fill="auto"/>
            <w:noWrap/>
            <w:tcMar>
              <w:top w:w="10" w:type="dxa"/>
              <w:left w:w="10" w:type="dxa"/>
              <w:right w:w="10" w:type="dxa"/>
            </w:tcMar>
            <w:vAlign w:val="center"/>
          </w:tcPr>
          <w:p w14:paraId="270DED09">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kern w:val="0"/>
                <w:sz w:val="18"/>
                <w:szCs w:val="18"/>
              </w:rPr>
              <w:t>编号</w:t>
            </w:r>
          </w:p>
        </w:tc>
        <w:tc>
          <w:tcPr>
            <w:tcW w:w="566" w:type="pct"/>
            <w:vMerge w:val="restart"/>
            <w:tcBorders>
              <w:top w:val="single" w:color="auto" w:sz="8" w:space="0"/>
              <w:bottom w:val="single" w:color="auto" w:sz="8" w:space="0"/>
            </w:tcBorders>
            <w:shd w:val="clear" w:color="auto" w:fill="auto"/>
            <w:noWrap/>
            <w:tcMar>
              <w:top w:w="10" w:type="dxa"/>
              <w:left w:w="10" w:type="dxa"/>
              <w:right w:w="10" w:type="dxa"/>
            </w:tcMar>
            <w:vAlign w:val="center"/>
          </w:tcPr>
          <w:p w14:paraId="00F73A86">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工程编码</w:t>
            </w:r>
          </w:p>
        </w:tc>
        <w:tc>
          <w:tcPr>
            <w:tcW w:w="566" w:type="pct"/>
            <w:vMerge w:val="restart"/>
            <w:tcBorders>
              <w:top w:val="single" w:color="auto" w:sz="8" w:space="0"/>
              <w:bottom w:val="single" w:color="auto" w:sz="8" w:space="0"/>
            </w:tcBorders>
            <w:shd w:val="clear" w:color="auto" w:fill="auto"/>
            <w:noWrap/>
            <w:tcMar>
              <w:top w:w="10" w:type="dxa"/>
              <w:left w:w="10" w:type="dxa"/>
              <w:right w:w="10" w:type="dxa"/>
            </w:tcMar>
            <w:vAlign w:val="center"/>
          </w:tcPr>
          <w:p w14:paraId="4280038A">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工程名称</w:t>
            </w:r>
          </w:p>
        </w:tc>
        <w:tc>
          <w:tcPr>
            <w:tcW w:w="872" w:type="pct"/>
            <w:gridSpan w:val="2"/>
            <w:tcBorders>
              <w:top w:val="single" w:color="auto" w:sz="8" w:space="0"/>
              <w:bottom w:val="single" w:color="auto" w:sz="4" w:space="0"/>
            </w:tcBorders>
            <w:shd w:val="clear" w:color="auto" w:fill="auto"/>
            <w:noWrap/>
            <w:tcMar>
              <w:top w:w="10" w:type="dxa"/>
              <w:left w:w="10" w:type="dxa"/>
              <w:right w:w="10" w:type="dxa"/>
            </w:tcMar>
            <w:vAlign w:val="center"/>
          </w:tcPr>
          <w:p w14:paraId="1480FA20">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kern w:val="0"/>
                <w:sz w:val="18"/>
                <w:szCs w:val="18"/>
              </w:rPr>
              <w:t>工程位置</w:t>
            </w:r>
          </w:p>
        </w:tc>
        <w:tc>
          <w:tcPr>
            <w:tcW w:w="450" w:type="pct"/>
            <w:vMerge w:val="restart"/>
            <w:tcBorders>
              <w:top w:val="single" w:color="auto" w:sz="8" w:space="0"/>
              <w:bottom w:val="single" w:color="auto" w:sz="8" w:space="0"/>
            </w:tcBorders>
            <w:shd w:val="clear" w:color="auto" w:fill="auto"/>
            <w:tcMar>
              <w:top w:w="10" w:type="dxa"/>
              <w:left w:w="10" w:type="dxa"/>
              <w:right w:w="10" w:type="dxa"/>
            </w:tcMar>
            <w:vAlign w:val="center"/>
          </w:tcPr>
          <w:p w14:paraId="462C03E8">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工程类型</w:t>
            </w:r>
          </w:p>
        </w:tc>
        <w:tc>
          <w:tcPr>
            <w:tcW w:w="410" w:type="pct"/>
            <w:vMerge w:val="restart"/>
            <w:tcBorders>
              <w:top w:val="single" w:color="auto" w:sz="8" w:space="0"/>
              <w:bottom w:val="single" w:color="auto" w:sz="8" w:space="0"/>
            </w:tcBorders>
            <w:shd w:val="clear" w:color="auto" w:fill="auto"/>
            <w:tcMar>
              <w:top w:w="10" w:type="dxa"/>
              <w:left w:w="10" w:type="dxa"/>
              <w:right w:w="10" w:type="dxa"/>
            </w:tcMar>
            <w:vAlign w:val="center"/>
          </w:tcPr>
          <w:p w14:paraId="7EB7BADD">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工程等级</w:t>
            </w:r>
          </w:p>
        </w:tc>
        <w:tc>
          <w:tcPr>
            <w:tcW w:w="566" w:type="pct"/>
            <w:vMerge w:val="restart"/>
            <w:tcBorders>
              <w:top w:val="single" w:color="auto" w:sz="8" w:space="0"/>
              <w:bottom w:val="single" w:color="auto" w:sz="8" w:space="0"/>
            </w:tcBorders>
            <w:shd w:val="clear" w:color="auto" w:fill="auto"/>
            <w:noWrap/>
            <w:tcMar>
              <w:top w:w="10" w:type="dxa"/>
              <w:left w:w="10" w:type="dxa"/>
              <w:right w:w="10" w:type="dxa"/>
            </w:tcMar>
            <w:vAlign w:val="center"/>
          </w:tcPr>
          <w:p w14:paraId="7A127786">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管理单位</w:t>
            </w:r>
          </w:p>
        </w:tc>
        <w:tc>
          <w:tcPr>
            <w:tcW w:w="566" w:type="pct"/>
            <w:vMerge w:val="restart"/>
            <w:tcBorders>
              <w:top w:val="single" w:color="auto" w:sz="8" w:space="0"/>
              <w:bottom w:val="single" w:color="auto" w:sz="8" w:space="0"/>
            </w:tcBorders>
            <w:shd w:val="clear" w:color="auto" w:fill="auto"/>
            <w:noWrap/>
            <w:tcMar>
              <w:top w:w="10" w:type="dxa"/>
              <w:left w:w="10" w:type="dxa"/>
              <w:right w:w="10" w:type="dxa"/>
            </w:tcMar>
            <w:vAlign w:val="center"/>
          </w:tcPr>
          <w:p w14:paraId="4588A076">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管理等级</w:t>
            </w:r>
          </w:p>
        </w:tc>
        <w:tc>
          <w:tcPr>
            <w:tcW w:w="576" w:type="pct"/>
            <w:vMerge w:val="restart"/>
            <w:tcBorders>
              <w:top w:val="single" w:color="auto" w:sz="8" w:space="0"/>
              <w:bottom w:val="single" w:color="auto" w:sz="8" w:space="0"/>
              <w:right w:val="single" w:color="auto" w:sz="8" w:space="0"/>
            </w:tcBorders>
            <w:shd w:val="clear" w:color="auto" w:fill="auto"/>
            <w:noWrap/>
            <w:tcMar>
              <w:top w:w="10" w:type="dxa"/>
              <w:left w:w="10" w:type="dxa"/>
              <w:right w:w="10" w:type="dxa"/>
            </w:tcMar>
            <w:vAlign w:val="center"/>
          </w:tcPr>
          <w:p w14:paraId="298608A5">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kern w:val="0"/>
                <w:sz w:val="18"/>
                <w:szCs w:val="18"/>
              </w:rPr>
              <w:t>备注</w:t>
            </w:r>
          </w:p>
        </w:tc>
      </w:tr>
      <w:tr w14:paraId="6C5F9F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9" w:type="pct"/>
            <w:vMerge w:val="continue"/>
            <w:tcBorders>
              <w:top w:val="single" w:color="auto" w:sz="8" w:space="0"/>
              <w:left w:val="single" w:color="auto" w:sz="8" w:space="0"/>
              <w:bottom w:val="single" w:color="auto" w:sz="8" w:space="0"/>
            </w:tcBorders>
            <w:shd w:val="clear" w:color="auto" w:fill="auto"/>
            <w:noWrap/>
            <w:tcMar>
              <w:top w:w="10" w:type="dxa"/>
              <w:left w:w="10" w:type="dxa"/>
              <w:right w:w="10" w:type="dxa"/>
            </w:tcMar>
            <w:vAlign w:val="center"/>
          </w:tcPr>
          <w:p w14:paraId="11656546">
            <w:pPr>
              <w:adjustRightInd/>
              <w:spacing w:line="240" w:lineRule="auto"/>
              <w:jc w:val="center"/>
              <w:rPr>
                <w:rFonts w:ascii="Times New Roman" w:hAnsi="Times New Roman"/>
                <w:sz w:val="18"/>
                <w:szCs w:val="18"/>
              </w:rPr>
            </w:pPr>
          </w:p>
        </w:tc>
        <w:tc>
          <w:tcPr>
            <w:tcW w:w="566" w:type="pct"/>
            <w:vMerge w:val="continue"/>
            <w:tcBorders>
              <w:top w:val="single" w:color="auto" w:sz="8" w:space="0"/>
              <w:bottom w:val="single" w:color="auto" w:sz="8" w:space="0"/>
            </w:tcBorders>
            <w:shd w:val="clear" w:color="auto" w:fill="auto"/>
            <w:noWrap/>
            <w:tcMar>
              <w:top w:w="10" w:type="dxa"/>
              <w:left w:w="10" w:type="dxa"/>
              <w:right w:w="10" w:type="dxa"/>
            </w:tcMar>
            <w:vAlign w:val="center"/>
          </w:tcPr>
          <w:p w14:paraId="38537ECD">
            <w:pPr>
              <w:adjustRightInd/>
              <w:spacing w:line="240" w:lineRule="auto"/>
              <w:jc w:val="center"/>
              <w:rPr>
                <w:rFonts w:ascii="Times New Roman" w:hAnsi="Times New Roman"/>
                <w:sz w:val="18"/>
                <w:szCs w:val="18"/>
              </w:rPr>
            </w:pPr>
          </w:p>
        </w:tc>
        <w:tc>
          <w:tcPr>
            <w:tcW w:w="566" w:type="pct"/>
            <w:vMerge w:val="continue"/>
            <w:tcBorders>
              <w:top w:val="single" w:color="auto" w:sz="8" w:space="0"/>
              <w:bottom w:val="single" w:color="auto" w:sz="8" w:space="0"/>
            </w:tcBorders>
            <w:shd w:val="clear" w:color="auto" w:fill="auto"/>
            <w:noWrap/>
            <w:tcMar>
              <w:top w:w="10" w:type="dxa"/>
              <w:left w:w="10" w:type="dxa"/>
              <w:right w:w="10" w:type="dxa"/>
            </w:tcMar>
            <w:vAlign w:val="center"/>
          </w:tcPr>
          <w:p w14:paraId="285D696C">
            <w:pPr>
              <w:adjustRightInd/>
              <w:spacing w:line="240" w:lineRule="auto"/>
              <w:jc w:val="center"/>
              <w:rPr>
                <w:rFonts w:ascii="Times New Roman" w:hAnsi="Times New Roman"/>
                <w:sz w:val="18"/>
                <w:szCs w:val="18"/>
              </w:rPr>
            </w:pPr>
          </w:p>
        </w:tc>
        <w:tc>
          <w:tcPr>
            <w:tcW w:w="429" w:type="pct"/>
            <w:tcBorders>
              <w:top w:val="single" w:color="auto" w:sz="4" w:space="0"/>
              <w:bottom w:val="single" w:color="auto" w:sz="8" w:space="0"/>
            </w:tcBorders>
            <w:shd w:val="clear" w:color="auto" w:fill="auto"/>
            <w:noWrap/>
            <w:tcMar>
              <w:top w:w="10" w:type="dxa"/>
              <w:left w:w="10" w:type="dxa"/>
              <w:right w:w="10" w:type="dxa"/>
            </w:tcMar>
            <w:vAlign w:val="center"/>
          </w:tcPr>
          <w:p w14:paraId="6D7508AE">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kern w:val="0"/>
                <w:sz w:val="18"/>
                <w:szCs w:val="18"/>
              </w:rPr>
              <w:t>经度</w:t>
            </w:r>
          </w:p>
        </w:tc>
        <w:tc>
          <w:tcPr>
            <w:tcW w:w="443" w:type="pct"/>
            <w:tcBorders>
              <w:top w:val="single" w:color="auto" w:sz="4" w:space="0"/>
              <w:bottom w:val="single" w:color="auto" w:sz="8" w:space="0"/>
            </w:tcBorders>
            <w:shd w:val="clear" w:color="auto" w:fill="auto"/>
            <w:noWrap/>
            <w:tcMar>
              <w:top w:w="10" w:type="dxa"/>
              <w:left w:w="10" w:type="dxa"/>
              <w:right w:w="10" w:type="dxa"/>
            </w:tcMar>
            <w:vAlign w:val="center"/>
          </w:tcPr>
          <w:p w14:paraId="1B2509C9">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kern w:val="0"/>
                <w:sz w:val="18"/>
                <w:szCs w:val="18"/>
              </w:rPr>
              <w:t>纬度</w:t>
            </w:r>
          </w:p>
        </w:tc>
        <w:tc>
          <w:tcPr>
            <w:tcW w:w="450" w:type="pct"/>
            <w:vMerge w:val="continue"/>
            <w:tcBorders>
              <w:top w:val="single" w:color="auto" w:sz="8" w:space="0"/>
              <w:bottom w:val="single" w:color="auto" w:sz="8" w:space="0"/>
            </w:tcBorders>
            <w:shd w:val="clear" w:color="auto" w:fill="auto"/>
            <w:tcMar>
              <w:top w:w="10" w:type="dxa"/>
              <w:left w:w="10" w:type="dxa"/>
              <w:right w:w="10" w:type="dxa"/>
            </w:tcMar>
            <w:vAlign w:val="center"/>
          </w:tcPr>
          <w:p w14:paraId="0888B8CA">
            <w:pPr>
              <w:adjustRightInd/>
              <w:spacing w:line="240" w:lineRule="auto"/>
              <w:jc w:val="center"/>
              <w:rPr>
                <w:rFonts w:ascii="Times New Roman" w:hAnsi="Times New Roman"/>
                <w:sz w:val="18"/>
                <w:szCs w:val="18"/>
              </w:rPr>
            </w:pPr>
          </w:p>
        </w:tc>
        <w:tc>
          <w:tcPr>
            <w:tcW w:w="410" w:type="pct"/>
            <w:vMerge w:val="continue"/>
            <w:tcBorders>
              <w:top w:val="single" w:color="000000" w:sz="4" w:space="0"/>
              <w:bottom w:val="single" w:color="auto" w:sz="8" w:space="0"/>
            </w:tcBorders>
            <w:shd w:val="clear" w:color="auto" w:fill="auto"/>
            <w:tcMar>
              <w:top w:w="10" w:type="dxa"/>
              <w:left w:w="10" w:type="dxa"/>
              <w:right w:w="10" w:type="dxa"/>
            </w:tcMar>
            <w:vAlign w:val="center"/>
          </w:tcPr>
          <w:p w14:paraId="021610D3">
            <w:pPr>
              <w:adjustRightInd/>
              <w:spacing w:line="240" w:lineRule="auto"/>
              <w:jc w:val="center"/>
              <w:rPr>
                <w:rFonts w:ascii="Times New Roman" w:hAnsi="Times New Roman"/>
                <w:sz w:val="18"/>
                <w:szCs w:val="18"/>
              </w:rPr>
            </w:pPr>
          </w:p>
        </w:tc>
        <w:tc>
          <w:tcPr>
            <w:tcW w:w="566" w:type="pct"/>
            <w:vMerge w:val="continue"/>
            <w:tcBorders>
              <w:top w:val="single" w:color="000000" w:sz="4" w:space="0"/>
              <w:bottom w:val="single" w:color="auto" w:sz="8" w:space="0"/>
            </w:tcBorders>
            <w:shd w:val="clear" w:color="auto" w:fill="auto"/>
            <w:noWrap/>
            <w:tcMar>
              <w:top w:w="10" w:type="dxa"/>
              <w:left w:w="10" w:type="dxa"/>
              <w:right w:w="10" w:type="dxa"/>
            </w:tcMar>
            <w:vAlign w:val="center"/>
          </w:tcPr>
          <w:p w14:paraId="7E8596E5">
            <w:pPr>
              <w:adjustRightInd/>
              <w:spacing w:line="240" w:lineRule="auto"/>
              <w:jc w:val="center"/>
              <w:rPr>
                <w:rFonts w:ascii="Times New Roman" w:hAnsi="Times New Roman"/>
                <w:sz w:val="18"/>
                <w:szCs w:val="18"/>
              </w:rPr>
            </w:pPr>
          </w:p>
        </w:tc>
        <w:tc>
          <w:tcPr>
            <w:tcW w:w="566" w:type="pct"/>
            <w:vMerge w:val="continue"/>
            <w:tcBorders>
              <w:top w:val="single" w:color="000000" w:sz="4" w:space="0"/>
              <w:bottom w:val="single" w:color="auto" w:sz="8" w:space="0"/>
            </w:tcBorders>
            <w:shd w:val="clear" w:color="auto" w:fill="auto"/>
            <w:noWrap/>
            <w:tcMar>
              <w:top w:w="10" w:type="dxa"/>
              <w:left w:w="10" w:type="dxa"/>
              <w:right w:w="10" w:type="dxa"/>
            </w:tcMar>
            <w:vAlign w:val="center"/>
          </w:tcPr>
          <w:p w14:paraId="481D9DE8">
            <w:pPr>
              <w:adjustRightInd/>
              <w:spacing w:line="240" w:lineRule="auto"/>
              <w:jc w:val="center"/>
              <w:rPr>
                <w:rFonts w:ascii="Times New Roman" w:hAnsi="Times New Roman"/>
                <w:sz w:val="18"/>
                <w:szCs w:val="18"/>
              </w:rPr>
            </w:pPr>
          </w:p>
        </w:tc>
        <w:tc>
          <w:tcPr>
            <w:tcW w:w="576" w:type="pct"/>
            <w:vMerge w:val="continue"/>
            <w:tcBorders>
              <w:top w:val="single" w:color="000000" w:sz="4" w:space="0"/>
              <w:bottom w:val="single" w:color="auto" w:sz="8" w:space="0"/>
              <w:right w:val="single" w:color="auto" w:sz="8" w:space="0"/>
            </w:tcBorders>
            <w:shd w:val="clear" w:color="auto" w:fill="auto"/>
            <w:noWrap/>
            <w:tcMar>
              <w:top w:w="10" w:type="dxa"/>
              <w:left w:w="10" w:type="dxa"/>
              <w:right w:w="10" w:type="dxa"/>
            </w:tcMar>
            <w:vAlign w:val="center"/>
          </w:tcPr>
          <w:p w14:paraId="3294D6D6">
            <w:pPr>
              <w:adjustRightInd/>
              <w:spacing w:line="240" w:lineRule="auto"/>
              <w:jc w:val="center"/>
              <w:rPr>
                <w:rFonts w:ascii="Times New Roman" w:hAnsi="Times New Roman"/>
                <w:sz w:val="18"/>
                <w:szCs w:val="18"/>
              </w:rPr>
            </w:pPr>
          </w:p>
        </w:tc>
      </w:tr>
      <w:tr w14:paraId="506951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9" w:type="pct"/>
            <w:tcBorders>
              <w:top w:val="single" w:color="auto" w:sz="8" w:space="0"/>
              <w:left w:val="single" w:color="auto" w:sz="8" w:space="0"/>
              <w:bottom w:val="single" w:color="auto" w:sz="8" w:space="0"/>
            </w:tcBorders>
            <w:shd w:val="clear" w:color="auto" w:fill="auto"/>
            <w:noWrap/>
            <w:tcMar>
              <w:top w:w="10" w:type="dxa"/>
              <w:left w:w="10" w:type="dxa"/>
              <w:right w:w="10" w:type="dxa"/>
            </w:tcMar>
            <w:vAlign w:val="center"/>
          </w:tcPr>
          <w:p w14:paraId="4BCD1F2F">
            <w:pPr>
              <w:adjustRightInd/>
              <w:spacing w:line="240" w:lineRule="auto"/>
              <w:jc w:val="center"/>
              <w:rPr>
                <w:rFonts w:ascii="Times New Roman" w:hAnsi="Times New Roman"/>
                <w:sz w:val="18"/>
                <w:szCs w:val="18"/>
              </w:rPr>
            </w:pPr>
          </w:p>
        </w:tc>
        <w:tc>
          <w:tcPr>
            <w:tcW w:w="566" w:type="pct"/>
            <w:tcBorders>
              <w:top w:val="single" w:color="auto" w:sz="8" w:space="0"/>
              <w:bottom w:val="single" w:color="auto" w:sz="8" w:space="0"/>
            </w:tcBorders>
            <w:shd w:val="clear" w:color="auto" w:fill="auto"/>
            <w:noWrap/>
            <w:tcMar>
              <w:top w:w="10" w:type="dxa"/>
              <w:left w:w="10" w:type="dxa"/>
              <w:right w:w="10" w:type="dxa"/>
            </w:tcMar>
            <w:vAlign w:val="center"/>
          </w:tcPr>
          <w:p w14:paraId="2C159E52">
            <w:pPr>
              <w:adjustRightInd/>
              <w:spacing w:line="240" w:lineRule="auto"/>
              <w:jc w:val="center"/>
              <w:rPr>
                <w:rFonts w:ascii="Times New Roman" w:hAnsi="Times New Roman"/>
                <w:sz w:val="18"/>
                <w:szCs w:val="18"/>
              </w:rPr>
            </w:pPr>
          </w:p>
        </w:tc>
        <w:tc>
          <w:tcPr>
            <w:tcW w:w="566" w:type="pct"/>
            <w:tcBorders>
              <w:top w:val="single" w:color="auto" w:sz="8" w:space="0"/>
              <w:bottom w:val="single" w:color="auto" w:sz="8" w:space="0"/>
            </w:tcBorders>
            <w:shd w:val="clear" w:color="auto" w:fill="auto"/>
            <w:noWrap/>
            <w:tcMar>
              <w:top w:w="10" w:type="dxa"/>
              <w:left w:w="10" w:type="dxa"/>
              <w:right w:w="10" w:type="dxa"/>
            </w:tcMar>
            <w:vAlign w:val="center"/>
          </w:tcPr>
          <w:p w14:paraId="059BC3B7">
            <w:pPr>
              <w:adjustRightInd/>
              <w:spacing w:line="240" w:lineRule="auto"/>
              <w:jc w:val="center"/>
              <w:rPr>
                <w:rFonts w:ascii="Times New Roman" w:hAnsi="Times New Roman"/>
                <w:sz w:val="18"/>
                <w:szCs w:val="18"/>
              </w:rPr>
            </w:pPr>
          </w:p>
        </w:tc>
        <w:tc>
          <w:tcPr>
            <w:tcW w:w="429" w:type="pct"/>
            <w:tcBorders>
              <w:top w:val="single" w:color="auto" w:sz="8" w:space="0"/>
              <w:bottom w:val="single" w:color="auto" w:sz="8" w:space="0"/>
            </w:tcBorders>
            <w:shd w:val="clear" w:color="auto" w:fill="auto"/>
            <w:noWrap/>
            <w:tcMar>
              <w:top w:w="10" w:type="dxa"/>
              <w:left w:w="10" w:type="dxa"/>
              <w:right w:w="10" w:type="dxa"/>
            </w:tcMar>
            <w:vAlign w:val="center"/>
          </w:tcPr>
          <w:p w14:paraId="23AA1294">
            <w:pPr>
              <w:adjustRightInd/>
              <w:spacing w:line="240" w:lineRule="auto"/>
              <w:jc w:val="center"/>
              <w:rPr>
                <w:rFonts w:ascii="Times New Roman" w:hAnsi="Times New Roman"/>
                <w:sz w:val="18"/>
                <w:szCs w:val="18"/>
              </w:rPr>
            </w:pPr>
          </w:p>
        </w:tc>
        <w:tc>
          <w:tcPr>
            <w:tcW w:w="443" w:type="pct"/>
            <w:tcBorders>
              <w:top w:val="single" w:color="auto" w:sz="8" w:space="0"/>
              <w:bottom w:val="single" w:color="auto" w:sz="8" w:space="0"/>
            </w:tcBorders>
            <w:shd w:val="clear" w:color="auto" w:fill="auto"/>
            <w:noWrap/>
            <w:tcMar>
              <w:top w:w="10" w:type="dxa"/>
              <w:left w:w="10" w:type="dxa"/>
              <w:right w:w="10" w:type="dxa"/>
            </w:tcMar>
            <w:vAlign w:val="center"/>
          </w:tcPr>
          <w:p w14:paraId="542710C1">
            <w:pPr>
              <w:adjustRightInd/>
              <w:spacing w:line="240" w:lineRule="auto"/>
              <w:jc w:val="center"/>
              <w:rPr>
                <w:rFonts w:ascii="Times New Roman" w:hAnsi="Times New Roman"/>
                <w:sz w:val="18"/>
                <w:szCs w:val="18"/>
              </w:rPr>
            </w:pPr>
          </w:p>
        </w:tc>
        <w:tc>
          <w:tcPr>
            <w:tcW w:w="450" w:type="pct"/>
            <w:tcBorders>
              <w:top w:val="single" w:color="auto" w:sz="8" w:space="0"/>
              <w:bottom w:val="single" w:color="auto" w:sz="8" w:space="0"/>
            </w:tcBorders>
            <w:shd w:val="clear" w:color="auto" w:fill="auto"/>
            <w:noWrap/>
            <w:tcMar>
              <w:top w:w="10" w:type="dxa"/>
              <w:left w:w="10" w:type="dxa"/>
              <w:right w:w="10" w:type="dxa"/>
            </w:tcMar>
            <w:vAlign w:val="center"/>
          </w:tcPr>
          <w:p w14:paraId="046304A4">
            <w:pPr>
              <w:adjustRightInd/>
              <w:spacing w:line="240" w:lineRule="auto"/>
              <w:jc w:val="center"/>
              <w:rPr>
                <w:rFonts w:ascii="Times New Roman" w:hAnsi="Times New Roman"/>
                <w:sz w:val="18"/>
                <w:szCs w:val="18"/>
              </w:rPr>
            </w:pPr>
          </w:p>
        </w:tc>
        <w:tc>
          <w:tcPr>
            <w:tcW w:w="410" w:type="pct"/>
            <w:tcBorders>
              <w:top w:val="single" w:color="auto" w:sz="8" w:space="0"/>
              <w:bottom w:val="single" w:color="auto" w:sz="8" w:space="0"/>
            </w:tcBorders>
            <w:shd w:val="clear" w:color="auto" w:fill="auto"/>
            <w:noWrap/>
            <w:tcMar>
              <w:top w:w="10" w:type="dxa"/>
              <w:left w:w="10" w:type="dxa"/>
              <w:right w:w="10" w:type="dxa"/>
            </w:tcMar>
            <w:vAlign w:val="center"/>
          </w:tcPr>
          <w:p w14:paraId="44A94688">
            <w:pPr>
              <w:adjustRightInd/>
              <w:spacing w:line="240" w:lineRule="auto"/>
              <w:jc w:val="center"/>
              <w:rPr>
                <w:rFonts w:ascii="Times New Roman" w:hAnsi="Times New Roman"/>
                <w:sz w:val="18"/>
                <w:szCs w:val="18"/>
              </w:rPr>
            </w:pPr>
          </w:p>
        </w:tc>
        <w:tc>
          <w:tcPr>
            <w:tcW w:w="566" w:type="pct"/>
            <w:tcBorders>
              <w:top w:val="single" w:color="auto" w:sz="8" w:space="0"/>
              <w:bottom w:val="single" w:color="auto" w:sz="8" w:space="0"/>
            </w:tcBorders>
            <w:shd w:val="clear" w:color="auto" w:fill="auto"/>
            <w:noWrap/>
            <w:tcMar>
              <w:top w:w="10" w:type="dxa"/>
              <w:left w:w="10" w:type="dxa"/>
              <w:right w:w="10" w:type="dxa"/>
            </w:tcMar>
            <w:vAlign w:val="center"/>
          </w:tcPr>
          <w:p w14:paraId="3A45B1C9">
            <w:pPr>
              <w:adjustRightInd/>
              <w:spacing w:line="240" w:lineRule="auto"/>
              <w:jc w:val="center"/>
              <w:rPr>
                <w:rFonts w:ascii="Times New Roman" w:hAnsi="Times New Roman"/>
                <w:sz w:val="18"/>
                <w:szCs w:val="18"/>
              </w:rPr>
            </w:pPr>
          </w:p>
        </w:tc>
        <w:tc>
          <w:tcPr>
            <w:tcW w:w="566" w:type="pct"/>
            <w:tcBorders>
              <w:top w:val="single" w:color="auto" w:sz="8" w:space="0"/>
              <w:bottom w:val="single" w:color="auto" w:sz="8" w:space="0"/>
            </w:tcBorders>
            <w:shd w:val="clear" w:color="auto" w:fill="auto"/>
            <w:noWrap/>
            <w:tcMar>
              <w:top w:w="10" w:type="dxa"/>
              <w:left w:w="10" w:type="dxa"/>
              <w:right w:w="10" w:type="dxa"/>
            </w:tcMar>
            <w:vAlign w:val="center"/>
          </w:tcPr>
          <w:p w14:paraId="1D5FAC9F">
            <w:pPr>
              <w:adjustRightInd/>
              <w:spacing w:line="240" w:lineRule="auto"/>
              <w:jc w:val="center"/>
              <w:rPr>
                <w:rFonts w:ascii="Times New Roman" w:hAnsi="Times New Roman"/>
                <w:sz w:val="18"/>
                <w:szCs w:val="18"/>
              </w:rPr>
            </w:pPr>
          </w:p>
        </w:tc>
        <w:tc>
          <w:tcPr>
            <w:tcW w:w="576" w:type="pct"/>
            <w:tcBorders>
              <w:top w:val="single" w:color="auto" w:sz="8" w:space="0"/>
              <w:bottom w:val="single" w:color="auto" w:sz="8" w:space="0"/>
              <w:right w:val="single" w:color="auto" w:sz="8" w:space="0"/>
            </w:tcBorders>
            <w:shd w:val="clear" w:color="auto" w:fill="auto"/>
            <w:noWrap/>
            <w:tcMar>
              <w:top w:w="10" w:type="dxa"/>
              <w:left w:w="10" w:type="dxa"/>
              <w:right w:w="10" w:type="dxa"/>
            </w:tcMar>
            <w:vAlign w:val="center"/>
          </w:tcPr>
          <w:p w14:paraId="28757E56">
            <w:pPr>
              <w:adjustRightInd/>
              <w:spacing w:line="240" w:lineRule="auto"/>
              <w:jc w:val="center"/>
              <w:rPr>
                <w:rFonts w:ascii="Times New Roman" w:hAnsi="Times New Roman"/>
                <w:sz w:val="18"/>
                <w:szCs w:val="18"/>
              </w:rPr>
            </w:pPr>
          </w:p>
        </w:tc>
      </w:tr>
      <w:tr w14:paraId="6D5824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954" w:hRule="atLeast"/>
        </w:trPr>
        <w:tc>
          <w:tcPr>
            <w:tcW w:w="5000" w:type="pct"/>
            <w:gridSpan w:val="10"/>
            <w:tcBorders>
              <w:top w:val="single" w:color="auto" w:sz="8" w:space="0"/>
              <w:left w:val="single" w:color="auto" w:sz="8" w:space="0"/>
              <w:bottom w:val="single" w:color="auto" w:sz="8" w:space="0"/>
              <w:right w:val="single" w:color="auto" w:sz="8" w:space="0"/>
            </w:tcBorders>
            <w:shd w:val="clear" w:color="auto" w:fill="auto"/>
            <w:noWrap/>
            <w:tcMar>
              <w:top w:w="10" w:type="dxa"/>
              <w:left w:w="10" w:type="dxa"/>
              <w:right w:w="10" w:type="dxa"/>
            </w:tcMar>
            <w:vAlign w:val="center"/>
          </w:tcPr>
          <w:p w14:paraId="3C3152A3">
            <w:pPr>
              <w:pStyle w:val="180"/>
            </w:pPr>
            <w:r>
              <w:rPr>
                <w:rFonts w:hint="eastAsia"/>
              </w:rPr>
              <w:t>工程编码管理单位对整个工程统一编码，与工程名称具有唯一的对应关系。</w:t>
            </w:r>
          </w:p>
          <w:p w14:paraId="74FADEE3">
            <w:pPr>
              <w:pStyle w:val="180"/>
            </w:pPr>
            <w:r>
              <w:rPr>
                <w:rFonts w:hint="eastAsia"/>
              </w:rPr>
              <w:t>经纬度坐标单位以十进制度计，小数位保留7位小数。</w:t>
            </w:r>
          </w:p>
          <w:p w14:paraId="435758EC">
            <w:pPr>
              <w:pStyle w:val="180"/>
            </w:pPr>
            <w:r>
              <w:rPr>
                <w:rFonts w:hint="eastAsia"/>
              </w:rPr>
              <w:t>工程类型标记所属工程是渠道、泵站、闸站、湖泊、水库、管道井、大型附属设施，由管理单位统一进行编码，编码与名称有唯一的对应关系，是制作数据字典的依据。</w:t>
            </w:r>
          </w:p>
          <w:p w14:paraId="1911546F">
            <w:pPr>
              <w:pStyle w:val="180"/>
            </w:pPr>
            <w:r>
              <w:rPr>
                <w:rFonts w:hint="eastAsia"/>
              </w:rPr>
              <w:t>工程等级是标记工程的大小、影响程度，如：水库的大I型、大Ⅱ型。</w:t>
            </w:r>
          </w:p>
          <w:p w14:paraId="2FABCBE9">
            <w:pPr>
              <w:pStyle w:val="180"/>
            </w:pPr>
            <w:r>
              <w:rPr>
                <w:rFonts w:hint="eastAsia"/>
              </w:rPr>
              <w:t>管理单位为工程的所管理的单位编码。</w:t>
            </w:r>
          </w:p>
          <w:p w14:paraId="6D368AA1">
            <w:pPr>
              <w:pStyle w:val="180"/>
            </w:pPr>
            <w:r>
              <w:rPr>
                <w:rFonts w:hint="eastAsia"/>
              </w:rPr>
              <w:t>管理等级遵循工程的管理标准，一级、二级、三级。</w:t>
            </w:r>
          </w:p>
          <w:p w14:paraId="5E6D72DD">
            <w:pPr>
              <w:pStyle w:val="180"/>
            </w:pPr>
            <w:r>
              <w:rPr>
                <w:rFonts w:hint="eastAsia"/>
              </w:rPr>
              <w:t>备注包括管理单位人员、电话联系方式及维护情况。</w:t>
            </w:r>
          </w:p>
        </w:tc>
      </w:tr>
    </w:tbl>
    <w:p w14:paraId="01AA7BE7">
      <w:pPr>
        <w:pStyle w:val="78"/>
        <w:spacing w:before="156" w:after="156"/>
      </w:pPr>
      <w:bookmarkStart w:id="178" w:name="_Toc178153347"/>
      <w:r>
        <w:rPr>
          <w:rFonts w:hint="eastAsia"/>
        </w:rPr>
        <w:t>水情监测采集表</w:t>
      </w:r>
      <w:bookmarkEnd w:id="178"/>
    </w:p>
    <w:p w14:paraId="6ED23CC2">
      <w:pPr>
        <w:pStyle w:val="56"/>
        <w:ind w:firstLine="420"/>
      </w:pPr>
      <w:r>
        <w:rPr>
          <w:rFonts w:hint="eastAsia"/>
        </w:rPr>
        <w:t>骨干水网信息化建设过程中，水情监测数据的采集见表A.2。</w:t>
      </w:r>
    </w:p>
    <w:p w14:paraId="03A87078">
      <w:pPr>
        <w:pStyle w:val="77"/>
        <w:spacing w:before="156" w:after="156"/>
      </w:pPr>
      <w:r>
        <w:rPr>
          <w:rFonts w:hint="eastAsia"/>
        </w:rPr>
        <w:t>水情监测采集表</w:t>
      </w:r>
    </w:p>
    <w:p w14:paraId="297F538E">
      <w:pPr>
        <w:pStyle w:val="56"/>
        <w:ind w:firstLine="360"/>
        <w:jc w:val="right"/>
        <w:rPr>
          <w:sz w:val="18"/>
          <w:szCs w:val="18"/>
        </w:rPr>
      </w:pPr>
      <w:r>
        <w:rPr>
          <w:rFonts w:hint="eastAsia"/>
          <w:sz w:val="18"/>
          <w:szCs w:val="18"/>
        </w:rPr>
        <w:t>单位为秒</w:t>
      </w:r>
    </w:p>
    <w:tbl>
      <w:tblPr>
        <w:tblStyle w:val="2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11"/>
        <w:gridCol w:w="740"/>
        <w:gridCol w:w="740"/>
        <w:gridCol w:w="1030"/>
        <w:gridCol w:w="740"/>
        <w:gridCol w:w="751"/>
        <w:gridCol w:w="411"/>
        <w:gridCol w:w="415"/>
        <w:gridCol w:w="740"/>
        <w:gridCol w:w="740"/>
        <w:gridCol w:w="1450"/>
        <w:gridCol w:w="752"/>
        <w:gridCol w:w="454"/>
      </w:tblGrid>
      <w:tr w14:paraId="5D3E6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20" w:type="pct"/>
            <w:vMerge w:val="restart"/>
            <w:tcBorders>
              <w:top w:val="single" w:color="000000" w:sz="8" w:space="0"/>
              <w:left w:val="single" w:color="000000" w:sz="8" w:space="0"/>
            </w:tcBorders>
            <w:shd w:val="clear" w:color="auto" w:fill="auto"/>
            <w:noWrap/>
            <w:tcMar>
              <w:top w:w="10" w:type="dxa"/>
              <w:left w:w="10" w:type="dxa"/>
              <w:right w:w="10" w:type="dxa"/>
            </w:tcMar>
            <w:vAlign w:val="center"/>
          </w:tcPr>
          <w:p w14:paraId="2EA79D52">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kern w:val="0"/>
                <w:sz w:val="18"/>
                <w:szCs w:val="18"/>
              </w:rPr>
              <w:t>编号</w:t>
            </w:r>
          </w:p>
        </w:tc>
        <w:tc>
          <w:tcPr>
            <w:tcW w:w="394" w:type="pct"/>
            <w:vMerge w:val="restart"/>
            <w:tcBorders>
              <w:top w:val="single" w:color="000000" w:sz="8" w:space="0"/>
            </w:tcBorders>
            <w:shd w:val="clear" w:color="auto" w:fill="auto"/>
            <w:noWrap/>
            <w:tcMar>
              <w:top w:w="10" w:type="dxa"/>
              <w:left w:w="10" w:type="dxa"/>
              <w:right w:w="10" w:type="dxa"/>
            </w:tcMar>
            <w:vAlign w:val="center"/>
          </w:tcPr>
          <w:p w14:paraId="59B56DFB">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采集指标</w:t>
            </w:r>
          </w:p>
        </w:tc>
        <w:tc>
          <w:tcPr>
            <w:tcW w:w="394" w:type="pct"/>
            <w:vMerge w:val="restart"/>
            <w:tcBorders>
              <w:top w:val="single" w:color="000000" w:sz="8" w:space="0"/>
            </w:tcBorders>
            <w:shd w:val="clear" w:color="auto" w:fill="auto"/>
            <w:noWrap/>
            <w:tcMar>
              <w:top w:w="10" w:type="dxa"/>
              <w:left w:w="10" w:type="dxa"/>
              <w:right w:w="10" w:type="dxa"/>
            </w:tcMar>
            <w:vAlign w:val="center"/>
          </w:tcPr>
          <w:p w14:paraId="49C13992">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采集编码</w:t>
            </w:r>
          </w:p>
        </w:tc>
        <w:tc>
          <w:tcPr>
            <w:tcW w:w="550" w:type="pct"/>
            <w:vMerge w:val="restart"/>
            <w:tcBorders>
              <w:top w:val="single" w:color="000000" w:sz="8" w:space="0"/>
              <w:right w:val="single" w:color="auto" w:sz="4" w:space="0"/>
            </w:tcBorders>
            <w:shd w:val="clear" w:color="auto" w:fill="auto"/>
            <w:noWrap/>
            <w:tcMar>
              <w:top w:w="10" w:type="dxa"/>
              <w:left w:w="10" w:type="dxa"/>
              <w:right w:w="10" w:type="dxa"/>
            </w:tcMar>
            <w:vAlign w:val="center"/>
          </w:tcPr>
          <w:p w14:paraId="52E1E285">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工程编码</w:t>
            </w:r>
          </w:p>
        </w:tc>
        <w:tc>
          <w:tcPr>
            <w:tcW w:w="394" w:type="pct"/>
            <w:vMerge w:val="restart"/>
            <w:tcBorders>
              <w:top w:val="single" w:color="000000" w:sz="8" w:space="0"/>
              <w:right w:val="single" w:color="auto" w:sz="4" w:space="0"/>
            </w:tcBorders>
            <w:shd w:val="clear" w:color="auto" w:fill="auto"/>
            <w:noWrap/>
            <w:tcMar>
              <w:top w:w="10" w:type="dxa"/>
              <w:left w:w="10" w:type="dxa"/>
              <w:right w:w="10" w:type="dxa"/>
            </w:tcMar>
            <w:vAlign w:val="center"/>
          </w:tcPr>
          <w:p w14:paraId="16D86C4F">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采集单位</w:t>
            </w:r>
          </w:p>
        </w:tc>
        <w:tc>
          <w:tcPr>
            <w:tcW w:w="401" w:type="pct"/>
            <w:vMerge w:val="restart"/>
            <w:tcBorders>
              <w:top w:val="single" w:color="000000" w:sz="8" w:space="0"/>
              <w:left w:val="single" w:color="auto" w:sz="4" w:space="0"/>
            </w:tcBorders>
            <w:shd w:val="clear" w:color="auto" w:fill="auto"/>
            <w:noWrap/>
            <w:tcMar>
              <w:top w:w="10" w:type="dxa"/>
              <w:left w:w="10" w:type="dxa"/>
              <w:right w:w="10" w:type="dxa"/>
            </w:tcMar>
            <w:vAlign w:val="center"/>
          </w:tcPr>
          <w:p w14:paraId="2734FF7D">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采集频率</w:t>
            </w:r>
          </w:p>
        </w:tc>
        <w:tc>
          <w:tcPr>
            <w:tcW w:w="442" w:type="pct"/>
            <w:gridSpan w:val="2"/>
            <w:tcBorders>
              <w:top w:val="single" w:color="000000" w:sz="8" w:space="0"/>
            </w:tcBorders>
            <w:shd w:val="clear" w:color="auto" w:fill="auto"/>
            <w:tcMar>
              <w:top w:w="10" w:type="dxa"/>
              <w:left w:w="10" w:type="dxa"/>
              <w:right w:w="10" w:type="dxa"/>
            </w:tcMar>
            <w:vAlign w:val="center"/>
          </w:tcPr>
          <w:p w14:paraId="3744AE1C">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有效阈值</w:t>
            </w:r>
          </w:p>
        </w:tc>
        <w:tc>
          <w:tcPr>
            <w:tcW w:w="394" w:type="pct"/>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66F5B02B">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设备类型</w:t>
            </w:r>
          </w:p>
        </w:tc>
        <w:tc>
          <w:tcPr>
            <w:tcW w:w="394" w:type="pct"/>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10D1471F">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管理地址</w:t>
            </w:r>
          </w:p>
        </w:tc>
        <w:tc>
          <w:tcPr>
            <w:tcW w:w="774" w:type="pct"/>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3804C308">
            <w:pPr>
              <w:widowControl/>
              <w:adjustRightInd/>
              <w:spacing w:line="240" w:lineRule="auto"/>
              <w:jc w:val="center"/>
              <w:textAlignment w:val="center"/>
              <w:rPr>
                <w:rFonts w:ascii="Times New Roman" w:hAnsi="Times New Roman"/>
                <w:bCs/>
                <w:kern w:val="0"/>
                <w:sz w:val="18"/>
                <w:szCs w:val="18"/>
              </w:rPr>
            </w:pPr>
            <w:r>
              <w:rPr>
                <w:rFonts w:hint="eastAsia" w:ascii="Times New Roman" w:hAnsi="Times New Roman" w:cs="宋体"/>
                <w:bCs/>
                <w:kern w:val="0"/>
                <w:sz w:val="18"/>
                <w:szCs w:val="18"/>
              </w:rPr>
              <w:t>RTU/IP地址</w:t>
            </w:r>
          </w:p>
        </w:tc>
        <w:tc>
          <w:tcPr>
            <w:tcW w:w="401" w:type="pct"/>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595EAAD2">
            <w:pPr>
              <w:widowControl/>
              <w:adjustRightInd/>
              <w:spacing w:line="240" w:lineRule="auto"/>
              <w:jc w:val="center"/>
              <w:textAlignment w:val="center"/>
              <w:rPr>
                <w:rFonts w:ascii="Times New Roman" w:hAnsi="Times New Roman"/>
                <w:bCs/>
                <w:kern w:val="0"/>
                <w:sz w:val="18"/>
                <w:szCs w:val="18"/>
              </w:rPr>
            </w:pPr>
            <w:r>
              <w:rPr>
                <w:rFonts w:hint="eastAsia" w:ascii="Times New Roman" w:hAnsi="Times New Roman" w:cs="宋体"/>
                <w:bCs/>
                <w:kern w:val="0"/>
                <w:sz w:val="18"/>
                <w:szCs w:val="18"/>
              </w:rPr>
              <w:t>遵循协议</w:t>
            </w:r>
          </w:p>
        </w:tc>
        <w:tc>
          <w:tcPr>
            <w:tcW w:w="235" w:type="pct"/>
            <w:vMerge w:val="restart"/>
            <w:tcBorders>
              <w:top w:val="single" w:color="000000" w:sz="8" w:space="0"/>
              <w:bottom w:val="single" w:color="auto" w:sz="8" w:space="0"/>
              <w:right w:val="single" w:color="000000" w:sz="8" w:space="0"/>
            </w:tcBorders>
            <w:shd w:val="clear" w:color="auto" w:fill="auto"/>
            <w:noWrap/>
            <w:tcMar>
              <w:top w:w="10" w:type="dxa"/>
              <w:left w:w="10" w:type="dxa"/>
              <w:right w:w="10" w:type="dxa"/>
            </w:tcMar>
            <w:vAlign w:val="center"/>
          </w:tcPr>
          <w:p w14:paraId="102A7EDD">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kern w:val="0"/>
                <w:sz w:val="18"/>
                <w:szCs w:val="18"/>
              </w:rPr>
              <w:t>备注</w:t>
            </w:r>
          </w:p>
        </w:tc>
      </w:tr>
      <w:tr w14:paraId="36C75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20" w:type="pct"/>
            <w:vMerge w:val="continue"/>
            <w:tcBorders>
              <w:left w:val="single" w:color="000000" w:sz="8" w:space="0"/>
              <w:bottom w:val="single" w:color="auto" w:sz="8" w:space="0"/>
            </w:tcBorders>
            <w:shd w:val="clear" w:color="auto" w:fill="auto"/>
            <w:noWrap/>
            <w:tcMar>
              <w:top w:w="10" w:type="dxa"/>
              <w:left w:w="10" w:type="dxa"/>
              <w:right w:w="10" w:type="dxa"/>
            </w:tcMar>
            <w:vAlign w:val="center"/>
          </w:tcPr>
          <w:p w14:paraId="17E4F38E">
            <w:pPr>
              <w:widowControl/>
              <w:adjustRightInd/>
              <w:spacing w:line="240" w:lineRule="auto"/>
              <w:jc w:val="center"/>
              <w:textAlignment w:val="center"/>
              <w:rPr>
                <w:szCs w:val="24"/>
              </w:rPr>
            </w:pPr>
          </w:p>
        </w:tc>
        <w:tc>
          <w:tcPr>
            <w:tcW w:w="394" w:type="pct"/>
            <w:vMerge w:val="continue"/>
            <w:tcBorders>
              <w:bottom w:val="single" w:color="auto" w:sz="8" w:space="0"/>
            </w:tcBorders>
            <w:shd w:val="clear" w:color="auto" w:fill="auto"/>
            <w:noWrap/>
            <w:tcMar>
              <w:top w:w="10" w:type="dxa"/>
              <w:left w:w="10" w:type="dxa"/>
              <w:right w:w="10" w:type="dxa"/>
            </w:tcMar>
            <w:vAlign w:val="center"/>
          </w:tcPr>
          <w:p w14:paraId="1D2FF554">
            <w:pPr>
              <w:widowControl/>
              <w:adjustRightInd/>
              <w:spacing w:line="240" w:lineRule="auto"/>
              <w:jc w:val="center"/>
              <w:textAlignment w:val="center"/>
              <w:rPr>
                <w:szCs w:val="24"/>
              </w:rPr>
            </w:pPr>
          </w:p>
        </w:tc>
        <w:tc>
          <w:tcPr>
            <w:tcW w:w="394" w:type="pct"/>
            <w:vMerge w:val="continue"/>
            <w:tcBorders>
              <w:bottom w:val="single" w:color="auto" w:sz="8" w:space="0"/>
            </w:tcBorders>
            <w:shd w:val="clear" w:color="auto" w:fill="auto"/>
            <w:noWrap/>
            <w:tcMar>
              <w:top w:w="10" w:type="dxa"/>
              <w:left w:w="10" w:type="dxa"/>
              <w:right w:w="10" w:type="dxa"/>
            </w:tcMar>
            <w:vAlign w:val="center"/>
          </w:tcPr>
          <w:p w14:paraId="005982BF">
            <w:pPr>
              <w:widowControl/>
              <w:adjustRightInd/>
              <w:spacing w:line="240" w:lineRule="auto"/>
              <w:jc w:val="center"/>
              <w:textAlignment w:val="center"/>
              <w:rPr>
                <w:szCs w:val="24"/>
              </w:rPr>
            </w:pPr>
          </w:p>
        </w:tc>
        <w:tc>
          <w:tcPr>
            <w:tcW w:w="550" w:type="pct"/>
            <w:vMerge w:val="continue"/>
            <w:tcBorders>
              <w:bottom w:val="single" w:color="auto" w:sz="8" w:space="0"/>
              <w:right w:val="single" w:color="auto" w:sz="4" w:space="0"/>
            </w:tcBorders>
            <w:shd w:val="clear" w:color="auto" w:fill="auto"/>
            <w:noWrap/>
            <w:tcMar>
              <w:top w:w="10" w:type="dxa"/>
              <w:left w:w="10" w:type="dxa"/>
              <w:right w:w="10" w:type="dxa"/>
            </w:tcMar>
            <w:vAlign w:val="center"/>
          </w:tcPr>
          <w:p w14:paraId="3AB23451">
            <w:pPr>
              <w:widowControl/>
              <w:adjustRightInd/>
              <w:spacing w:line="240" w:lineRule="auto"/>
              <w:jc w:val="center"/>
              <w:textAlignment w:val="center"/>
              <w:rPr>
                <w:szCs w:val="24"/>
              </w:rPr>
            </w:pPr>
          </w:p>
        </w:tc>
        <w:tc>
          <w:tcPr>
            <w:tcW w:w="394" w:type="pct"/>
            <w:vMerge w:val="continue"/>
            <w:tcBorders>
              <w:bottom w:val="single" w:color="auto" w:sz="8" w:space="0"/>
              <w:right w:val="single" w:color="auto" w:sz="4" w:space="0"/>
            </w:tcBorders>
            <w:shd w:val="clear" w:color="auto" w:fill="auto"/>
            <w:noWrap/>
            <w:tcMar>
              <w:top w:w="10" w:type="dxa"/>
              <w:left w:w="10" w:type="dxa"/>
              <w:right w:w="10" w:type="dxa"/>
            </w:tcMar>
            <w:vAlign w:val="center"/>
          </w:tcPr>
          <w:p w14:paraId="0D253F37">
            <w:pPr>
              <w:widowControl/>
              <w:adjustRightInd/>
              <w:spacing w:line="240" w:lineRule="auto"/>
              <w:jc w:val="center"/>
              <w:textAlignment w:val="center"/>
              <w:rPr>
                <w:szCs w:val="24"/>
              </w:rPr>
            </w:pPr>
          </w:p>
        </w:tc>
        <w:tc>
          <w:tcPr>
            <w:tcW w:w="401" w:type="pct"/>
            <w:vMerge w:val="continue"/>
            <w:tcBorders>
              <w:left w:val="single" w:color="auto" w:sz="4" w:space="0"/>
              <w:bottom w:val="single" w:color="auto" w:sz="8" w:space="0"/>
            </w:tcBorders>
            <w:shd w:val="clear" w:color="auto" w:fill="auto"/>
            <w:noWrap/>
            <w:tcMar>
              <w:top w:w="10" w:type="dxa"/>
              <w:left w:w="10" w:type="dxa"/>
              <w:right w:w="10" w:type="dxa"/>
            </w:tcMar>
            <w:vAlign w:val="center"/>
          </w:tcPr>
          <w:p w14:paraId="537F75DE">
            <w:pPr>
              <w:widowControl/>
              <w:adjustRightInd/>
              <w:spacing w:line="240" w:lineRule="auto"/>
              <w:jc w:val="center"/>
              <w:textAlignment w:val="center"/>
              <w:rPr>
                <w:szCs w:val="24"/>
              </w:rPr>
            </w:pPr>
          </w:p>
        </w:tc>
        <w:tc>
          <w:tcPr>
            <w:tcW w:w="220" w:type="pct"/>
            <w:tcBorders>
              <w:bottom w:val="single" w:color="auto" w:sz="8" w:space="0"/>
            </w:tcBorders>
            <w:shd w:val="clear" w:color="auto" w:fill="auto"/>
            <w:tcMar>
              <w:top w:w="10" w:type="dxa"/>
              <w:left w:w="10" w:type="dxa"/>
              <w:right w:w="10" w:type="dxa"/>
            </w:tcMar>
            <w:vAlign w:val="center"/>
          </w:tcPr>
          <w:p w14:paraId="2FD29BA7">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小</w:t>
            </w:r>
          </w:p>
        </w:tc>
        <w:tc>
          <w:tcPr>
            <w:tcW w:w="222" w:type="pct"/>
            <w:tcBorders>
              <w:bottom w:val="single" w:color="auto" w:sz="8" w:space="0"/>
            </w:tcBorders>
            <w:shd w:val="clear" w:color="auto" w:fill="auto"/>
            <w:tcMar>
              <w:top w:w="10" w:type="dxa"/>
              <w:left w:w="10" w:type="dxa"/>
              <w:right w:w="10" w:type="dxa"/>
            </w:tcMar>
            <w:vAlign w:val="center"/>
          </w:tcPr>
          <w:p w14:paraId="6D877AFF">
            <w:pPr>
              <w:widowControl/>
              <w:adjustRightInd/>
              <w:spacing w:line="240" w:lineRule="auto"/>
              <w:jc w:val="center"/>
              <w:textAlignment w:val="center"/>
              <w:rPr>
                <w:rFonts w:ascii="Times New Roman" w:hAnsi="Times New Roman"/>
                <w:bCs/>
                <w:sz w:val="18"/>
                <w:szCs w:val="18"/>
              </w:rPr>
            </w:pPr>
            <w:r>
              <w:rPr>
                <w:rFonts w:hint="eastAsia" w:ascii="Times New Roman" w:hAnsi="Times New Roman" w:cs="宋体"/>
                <w:bCs/>
                <w:sz w:val="18"/>
                <w:szCs w:val="18"/>
              </w:rPr>
              <w:t>大</w:t>
            </w:r>
          </w:p>
        </w:tc>
        <w:tc>
          <w:tcPr>
            <w:tcW w:w="394" w:type="pct"/>
            <w:vMerge w:val="continue"/>
            <w:tcBorders>
              <w:bottom w:val="single" w:color="auto" w:sz="8" w:space="0"/>
            </w:tcBorders>
            <w:shd w:val="clear" w:color="auto" w:fill="auto"/>
            <w:noWrap/>
            <w:tcMar>
              <w:top w:w="10" w:type="dxa"/>
              <w:left w:w="10" w:type="dxa"/>
              <w:right w:w="10" w:type="dxa"/>
            </w:tcMar>
            <w:vAlign w:val="center"/>
          </w:tcPr>
          <w:p w14:paraId="61FC1471">
            <w:pPr>
              <w:widowControl/>
              <w:adjustRightInd/>
              <w:spacing w:line="240" w:lineRule="auto"/>
              <w:jc w:val="center"/>
              <w:textAlignment w:val="center"/>
              <w:rPr>
                <w:rFonts w:ascii="Times New Roman" w:hAnsi="Times New Roman"/>
                <w:bCs/>
                <w:sz w:val="18"/>
                <w:szCs w:val="18"/>
              </w:rPr>
            </w:pPr>
          </w:p>
        </w:tc>
        <w:tc>
          <w:tcPr>
            <w:tcW w:w="394" w:type="pct"/>
            <w:vMerge w:val="continue"/>
            <w:tcBorders>
              <w:bottom w:val="single" w:color="auto" w:sz="8" w:space="0"/>
            </w:tcBorders>
            <w:shd w:val="clear" w:color="auto" w:fill="auto"/>
            <w:noWrap/>
            <w:tcMar>
              <w:top w:w="10" w:type="dxa"/>
              <w:left w:w="10" w:type="dxa"/>
              <w:right w:w="10" w:type="dxa"/>
            </w:tcMar>
            <w:vAlign w:val="center"/>
          </w:tcPr>
          <w:p w14:paraId="70BF4810">
            <w:pPr>
              <w:widowControl/>
              <w:adjustRightInd/>
              <w:spacing w:line="240" w:lineRule="auto"/>
              <w:jc w:val="center"/>
              <w:textAlignment w:val="center"/>
              <w:rPr>
                <w:rFonts w:ascii="Times New Roman" w:hAnsi="Times New Roman"/>
                <w:bCs/>
                <w:sz w:val="18"/>
                <w:szCs w:val="18"/>
              </w:rPr>
            </w:pPr>
          </w:p>
        </w:tc>
        <w:tc>
          <w:tcPr>
            <w:tcW w:w="774" w:type="pct"/>
            <w:vMerge w:val="continue"/>
            <w:tcBorders>
              <w:bottom w:val="single" w:color="auto" w:sz="8" w:space="0"/>
            </w:tcBorders>
            <w:shd w:val="clear" w:color="auto" w:fill="auto"/>
            <w:noWrap/>
            <w:tcMar>
              <w:top w:w="10" w:type="dxa"/>
              <w:left w:w="10" w:type="dxa"/>
              <w:right w:w="10" w:type="dxa"/>
            </w:tcMar>
            <w:vAlign w:val="center"/>
          </w:tcPr>
          <w:p w14:paraId="0B7BC264">
            <w:pPr>
              <w:widowControl/>
              <w:adjustRightInd/>
              <w:spacing w:line="240" w:lineRule="auto"/>
              <w:jc w:val="center"/>
              <w:textAlignment w:val="center"/>
              <w:rPr>
                <w:rFonts w:ascii="Times New Roman" w:hAnsi="Times New Roman"/>
                <w:bCs/>
                <w:sz w:val="18"/>
                <w:szCs w:val="18"/>
              </w:rPr>
            </w:pPr>
          </w:p>
        </w:tc>
        <w:tc>
          <w:tcPr>
            <w:tcW w:w="401" w:type="pct"/>
            <w:vMerge w:val="continue"/>
            <w:tcBorders>
              <w:bottom w:val="single" w:color="auto" w:sz="8" w:space="0"/>
            </w:tcBorders>
            <w:shd w:val="clear" w:color="auto" w:fill="auto"/>
            <w:noWrap/>
            <w:tcMar>
              <w:top w:w="10" w:type="dxa"/>
              <w:left w:w="10" w:type="dxa"/>
              <w:right w:w="10" w:type="dxa"/>
            </w:tcMar>
            <w:vAlign w:val="center"/>
          </w:tcPr>
          <w:p w14:paraId="327E75BE">
            <w:pPr>
              <w:widowControl/>
              <w:adjustRightInd/>
              <w:spacing w:line="240" w:lineRule="auto"/>
              <w:jc w:val="center"/>
              <w:textAlignment w:val="center"/>
              <w:rPr>
                <w:rFonts w:ascii="Times New Roman" w:hAnsi="Times New Roman"/>
                <w:bCs/>
                <w:sz w:val="18"/>
                <w:szCs w:val="18"/>
              </w:rPr>
            </w:pPr>
          </w:p>
        </w:tc>
        <w:tc>
          <w:tcPr>
            <w:tcW w:w="235" w:type="pct"/>
            <w:vMerge w:val="continue"/>
            <w:tcBorders>
              <w:bottom w:val="single" w:color="auto" w:sz="8" w:space="0"/>
              <w:right w:val="single" w:color="000000" w:sz="8" w:space="0"/>
            </w:tcBorders>
            <w:shd w:val="clear" w:color="auto" w:fill="auto"/>
            <w:noWrap/>
            <w:tcMar>
              <w:top w:w="10" w:type="dxa"/>
              <w:left w:w="10" w:type="dxa"/>
              <w:right w:w="10" w:type="dxa"/>
            </w:tcMar>
            <w:vAlign w:val="center"/>
          </w:tcPr>
          <w:p w14:paraId="51516347">
            <w:pPr>
              <w:widowControl/>
              <w:adjustRightInd/>
              <w:spacing w:line="240" w:lineRule="auto"/>
              <w:jc w:val="center"/>
              <w:textAlignment w:val="center"/>
              <w:rPr>
                <w:rFonts w:ascii="Times New Roman" w:hAnsi="Times New Roman"/>
                <w:bCs/>
                <w:sz w:val="18"/>
                <w:szCs w:val="18"/>
              </w:rPr>
            </w:pPr>
          </w:p>
        </w:tc>
      </w:tr>
      <w:tr w14:paraId="44412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20" w:type="pct"/>
            <w:tcBorders>
              <w:top w:val="single" w:color="auto" w:sz="8" w:space="0"/>
              <w:left w:val="single" w:color="000000" w:sz="8" w:space="0"/>
              <w:bottom w:val="single" w:color="auto" w:sz="8" w:space="0"/>
            </w:tcBorders>
            <w:shd w:val="clear" w:color="auto" w:fill="auto"/>
            <w:noWrap/>
            <w:tcMar>
              <w:top w:w="10" w:type="dxa"/>
              <w:left w:w="10" w:type="dxa"/>
              <w:right w:w="10" w:type="dxa"/>
            </w:tcMar>
            <w:vAlign w:val="center"/>
          </w:tcPr>
          <w:p w14:paraId="2743E488">
            <w:pPr>
              <w:adjustRightInd/>
              <w:spacing w:line="240" w:lineRule="auto"/>
              <w:jc w:val="center"/>
              <w:rPr>
                <w:rFonts w:ascii="Times New Roman" w:hAnsi="Times New Roman"/>
                <w:sz w:val="18"/>
                <w:szCs w:val="18"/>
              </w:rPr>
            </w:pPr>
          </w:p>
        </w:tc>
        <w:tc>
          <w:tcPr>
            <w:tcW w:w="394" w:type="pct"/>
            <w:tcBorders>
              <w:top w:val="single" w:color="auto" w:sz="8" w:space="0"/>
              <w:bottom w:val="single" w:color="auto" w:sz="8" w:space="0"/>
            </w:tcBorders>
            <w:shd w:val="clear" w:color="auto" w:fill="auto"/>
            <w:noWrap/>
            <w:tcMar>
              <w:top w:w="10" w:type="dxa"/>
              <w:left w:w="10" w:type="dxa"/>
              <w:right w:w="10" w:type="dxa"/>
            </w:tcMar>
            <w:vAlign w:val="center"/>
          </w:tcPr>
          <w:p w14:paraId="1082B01C">
            <w:pPr>
              <w:adjustRightInd/>
              <w:spacing w:line="240" w:lineRule="auto"/>
              <w:jc w:val="center"/>
              <w:rPr>
                <w:rFonts w:ascii="Times New Roman" w:hAnsi="Times New Roman"/>
                <w:sz w:val="18"/>
                <w:szCs w:val="18"/>
              </w:rPr>
            </w:pPr>
          </w:p>
        </w:tc>
        <w:tc>
          <w:tcPr>
            <w:tcW w:w="394" w:type="pct"/>
            <w:tcBorders>
              <w:top w:val="single" w:color="auto" w:sz="8" w:space="0"/>
              <w:bottom w:val="single" w:color="auto" w:sz="8" w:space="0"/>
            </w:tcBorders>
            <w:shd w:val="clear" w:color="auto" w:fill="auto"/>
            <w:noWrap/>
            <w:tcMar>
              <w:top w:w="10" w:type="dxa"/>
              <w:left w:w="10" w:type="dxa"/>
              <w:right w:w="10" w:type="dxa"/>
            </w:tcMar>
            <w:vAlign w:val="center"/>
          </w:tcPr>
          <w:p w14:paraId="4B77BB97">
            <w:pPr>
              <w:adjustRightInd/>
              <w:spacing w:line="240" w:lineRule="auto"/>
              <w:jc w:val="center"/>
              <w:rPr>
                <w:rFonts w:ascii="Times New Roman" w:hAnsi="Times New Roman"/>
                <w:sz w:val="18"/>
                <w:szCs w:val="18"/>
              </w:rPr>
            </w:pPr>
          </w:p>
        </w:tc>
        <w:tc>
          <w:tcPr>
            <w:tcW w:w="550" w:type="pct"/>
            <w:tcBorders>
              <w:top w:val="single" w:color="auto" w:sz="8" w:space="0"/>
              <w:bottom w:val="single" w:color="auto" w:sz="8" w:space="0"/>
              <w:right w:val="single" w:color="auto" w:sz="4" w:space="0"/>
            </w:tcBorders>
            <w:shd w:val="clear" w:color="auto" w:fill="auto"/>
            <w:noWrap/>
            <w:tcMar>
              <w:top w:w="10" w:type="dxa"/>
              <w:left w:w="10" w:type="dxa"/>
              <w:right w:w="10" w:type="dxa"/>
            </w:tcMar>
            <w:vAlign w:val="center"/>
          </w:tcPr>
          <w:p w14:paraId="0A6BF40E">
            <w:pPr>
              <w:adjustRightInd/>
              <w:spacing w:line="240" w:lineRule="auto"/>
              <w:jc w:val="center"/>
              <w:rPr>
                <w:rFonts w:ascii="Times New Roman" w:hAnsi="Times New Roman"/>
                <w:sz w:val="18"/>
                <w:szCs w:val="18"/>
              </w:rPr>
            </w:pPr>
          </w:p>
        </w:tc>
        <w:tc>
          <w:tcPr>
            <w:tcW w:w="394" w:type="pct"/>
            <w:tcBorders>
              <w:top w:val="single" w:color="auto" w:sz="8" w:space="0"/>
              <w:bottom w:val="single" w:color="auto" w:sz="8" w:space="0"/>
              <w:right w:val="single" w:color="auto" w:sz="4" w:space="0"/>
            </w:tcBorders>
            <w:shd w:val="clear" w:color="auto" w:fill="auto"/>
            <w:noWrap/>
            <w:tcMar>
              <w:top w:w="10" w:type="dxa"/>
              <w:left w:w="10" w:type="dxa"/>
              <w:right w:w="10" w:type="dxa"/>
            </w:tcMar>
            <w:vAlign w:val="center"/>
          </w:tcPr>
          <w:p w14:paraId="5899E42F">
            <w:pPr>
              <w:adjustRightInd/>
              <w:spacing w:line="240" w:lineRule="auto"/>
              <w:jc w:val="center"/>
              <w:rPr>
                <w:rFonts w:ascii="Times New Roman" w:hAnsi="Times New Roman"/>
                <w:sz w:val="18"/>
                <w:szCs w:val="18"/>
              </w:rPr>
            </w:pPr>
          </w:p>
        </w:tc>
        <w:tc>
          <w:tcPr>
            <w:tcW w:w="401" w:type="pct"/>
            <w:tcBorders>
              <w:top w:val="single" w:color="auto" w:sz="8" w:space="0"/>
              <w:left w:val="single" w:color="auto" w:sz="4" w:space="0"/>
              <w:bottom w:val="single" w:color="auto" w:sz="8" w:space="0"/>
            </w:tcBorders>
            <w:shd w:val="clear" w:color="auto" w:fill="auto"/>
            <w:noWrap/>
            <w:tcMar>
              <w:top w:w="10" w:type="dxa"/>
              <w:left w:w="10" w:type="dxa"/>
              <w:right w:w="10" w:type="dxa"/>
            </w:tcMar>
            <w:vAlign w:val="center"/>
          </w:tcPr>
          <w:p w14:paraId="1E4E402E">
            <w:pPr>
              <w:adjustRightInd/>
              <w:spacing w:line="240" w:lineRule="auto"/>
              <w:jc w:val="center"/>
              <w:rPr>
                <w:rFonts w:ascii="Times New Roman" w:hAnsi="Times New Roman"/>
                <w:sz w:val="18"/>
                <w:szCs w:val="18"/>
              </w:rPr>
            </w:pPr>
          </w:p>
        </w:tc>
        <w:tc>
          <w:tcPr>
            <w:tcW w:w="220" w:type="pct"/>
            <w:tcBorders>
              <w:top w:val="single" w:color="auto" w:sz="8" w:space="0"/>
              <w:bottom w:val="single" w:color="auto" w:sz="8" w:space="0"/>
            </w:tcBorders>
            <w:shd w:val="clear" w:color="auto" w:fill="auto"/>
            <w:noWrap/>
            <w:tcMar>
              <w:top w:w="10" w:type="dxa"/>
              <w:left w:w="10" w:type="dxa"/>
              <w:right w:w="10" w:type="dxa"/>
            </w:tcMar>
            <w:vAlign w:val="center"/>
          </w:tcPr>
          <w:p w14:paraId="493CD336">
            <w:pPr>
              <w:adjustRightInd/>
              <w:spacing w:line="240" w:lineRule="auto"/>
              <w:jc w:val="center"/>
              <w:rPr>
                <w:rFonts w:ascii="Times New Roman" w:hAnsi="Times New Roman"/>
                <w:sz w:val="18"/>
                <w:szCs w:val="18"/>
              </w:rPr>
            </w:pPr>
          </w:p>
        </w:tc>
        <w:tc>
          <w:tcPr>
            <w:tcW w:w="222" w:type="pct"/>
            <w:tcBorders>
              <w:top w:val="single" w:color="auto" w:sz="8" w:space="0"/>
              <w:bottom w:val="single" w:color="auto" w:sz="8" w:space="0"/>
            </w:tcBorders>
            <w:shd w:val="clear" w:color="auto" w:fill="auto"/>
            <w:noWrap/>
            <w:tcMar>
              <w:top w:w="10" w:type="dxa"/>
              <w:left w:w="10" w:type="dxa"/>
              <w:right w:w="10" w:type="dxa"/>
            </w:tcMar>
            <w:vAlign w:val="center"/>
          </w:tcPr>
          <w:p w14:paraId="65E729AA">
            <w:pPr>
              <w:adjustRightInd/>
              <w:spacing w:line="240" w:lineRule="auto"/>
              <w:jc w:val="center"/>
              <w:rPr>
                <w:rFonts w:ascii="Times New Roman" w:hAnsi="Times New Roman"/>
                <w:sz w:val="18"/>
                <w:szCs w:val="18"/>
              </w:rPr>
            </w:pPr>
          </w:p>
        </w:tc>
        <w:tc>
          <w:tcPr>
            <w:tcW w:w="394" w:type="pct"/>
            <w:tcBorders>
              <w:top w:val="single" w:color="auto" w:sz="8" w:space="0"/>
              <w:bottom w:val="single" w:color="auto" w:sz="8" w:space="0"/>
            </w:tcBorders>
            <w:shd w:val="clear" w:color="auto" w:fill="auto"/>
            <w:noWrap/>
            <w:tcMar>
              <w:top w:w="10" w:type="dxa"/>
              <w:left w:w="10" w:type="dxa"/>
              <w:right w:w="10" w:type="dxa"/>
            </w:tcMar>
            <w:vAlign w:val="center"/>
          </w:tcPr>
          <w:p w14:paraId="3BE3B9C5">
            <w:pPr>
              <w:adjustRightInd/>
              <w:spacing w:line="240" w:lineRule="auto"/>
              <w:jc w:val="center"/>
              <w:rPr>
                <w:rFonts w:ascii="Times New Roman" w:hAnsi="Times New Roman"/>
                <w:sz w:val="18"/>
                <w:szCs w:val="18"/>
              </w:rPr>
            </w:pPr>
          </w:p>
        </w:tc>
        <w:tc>
          <w:tcPr>
            <w:tcW w:w="394" w:type="pct"/>
            <w:tcBorders>
              <w:top w:val="single" w:color="auto" w:sz="8" w:space="0"/>
              <w:bottom w:val="single" w:color="auto" w:sz="8" w:space="0"/>
            </w:tcBorders>
            <w:shd w:val="clear" w:color="auto" w:fill="auto"/>
            <w:noWrap/>
            <w:tcMar>
              <w:top w:w="10" w:type="dxa"/>
              <w:left w:w="10" w:type="dxa"/>
              <w:right w:w="10" w:type="dxa"/>
            </w:tcMar>
            <w:vAlign w:val="center"/>
          </w:tcPr>
          <w:p w14:paraId="1805A6D7">
            <w:pPr>
              <w:adjustRightInd/>
              <w:spacing w:line="240" w:lineRule="auto"/>
              <w:jc w:val="center"/>
              <w:rPr>
                <w:rFonts w:ascii="Times New Roman" w:hAnsi="Times New Roman"/>
                <w:sz w:val="18"/>
                <w:szCs w:val="18"/>
              </w:rPr>
            </w:pPr>
          </w:p>
        </w:tc>
        <w:tc>
          <w:tcPr>
            <w:tcW w:w="774" w:type="pct"/>
            <w:tcBorders>
              <w:top w:val="single" w:color="auto" w:sz="8" w:space="0"/>
              <w:bottom w:val="single" w:color="auto" w:sz="8" w:space="0"/>
            </w:tcBorders>
            <w:shd w:val="clear" w:color="auto" w:fill="auto"/>
            <w:noWrap/>
            <w:tcMar>
              <w:top w:w="10" w:type="dxa"/>
              <w:left w:w="10" w:type="dxa"/>
              <w:right w:w="10" w:type="dxa"/>
            </w:tcMar>
            <w:vAlign w:val="center"/>
          </w:tcPr>
          <w:p w14:paraId="56FC31BC">
            <w:pPr>
              <w:adjustRightInd/>
              <w:spacing w:line="240" w:lineRule="auto"/>
              <w:jc w:val="center"/>
              <w:rPr>
                <w:rFonts w:ascii="Times New Roman" w:hAnsi="Times New Roman"/>
                <w:sz w:val="18"/>
                <w:szCs w:val="18"/>
              </w:rPr>
            </w:pPr>
          </w:p>
        </w:tc>
        <w:tc>
          <w:tcPr>
            <w:tcW w:w="401" w:type="pct"/>
            <w:tcBorders>
              <w:top w:val="single" w:color="auto" w:sz="8" w:space="0"/>
              <w:bottom w:val="single" w:color="auto" w:sz="8" w:space="0"/>
            </w:tcBorders>
            <w:shd w:val="clear" w:color="auto" w:fill="auto"/>
            <w:noWrap/>
            <w:tcMar>
              <w:top w:w="10" w:type="dxa"/>
              <w:left w:w="10" w:type="dxa"/>
              <w:right w:w="10" w:type="dxa"/>
            </w:tcMar>
            <w:vAlign w:val="center"/>
          </w:tcPr>
          <w:p w14:paraId="5D31F377">
            <w:pPr>
              <w:adjustRightInd/>
              <w:spacing w:line="240" w:lineRule="auto"/>
              <w:jc w:val="center"/>
              <w:rPr>
                <w:rFonts w:ascii="Times New Roman" w:hAnsi="Times New Roman"/>
                <w:sz w:val="18"/>
                <w:szCs w:val="18"/>
              </w:rPr>
            </w:pPr>
          </w:p>
        </w:tc>
        <w:tc>
          <w:tcPr>
            <w:tcW w:w="235" w:type="pct"/>
            <w:tcBorders>
              <w:top w:val="single" w:color="auto" w:sz="8" w:space="0"/>
              <w:bottom w:val="single" w:color="auto" w:sz="8" w:space="0"/>
              <w:right w:val="single" w:color="000000" w:sz="8" w:space="0"/>
            </w:tcBorders>
            <w:shd w:val="clear" w:color="auto" w:fill="auto"/>
            <w:noWrap/>
            <w:tcMar>
              <w:top w:w="10" w:type="dxa"/>
              <w:left w:w="10" w:type="dxa"/>
              <w:right w:w="10" w:type="dxa"/>
            </w:tcMar>
            <w:vAlign w:val="center"/>
          </w:tcPr>
          <w:p w14:paraId="1206D5D8">
            <w:pPr>
              <w:adjustRightInd/>
              <w:spacing w:line="240" w:lineRule="auto"/>
              <w:jc w:val="center"/>
              <w:rPr>
                <w:rFonts w:ascii="Times New Roman" w:hAnsi="Times New Roman"/>
                <w:sz w:val="18"/>
                <w:szCs w:val="18"/>
              </w:rPr>
            </w:pPr>
          </w:p>
        </w:tc>
      </w:tr>
      <w:tr w14:paraId="6738F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5000" w:type="pct"/>
            <w:gridSpan w:val="13"/>
            <w:tcBorders>
              <w:top w:val="single" w:color="auto"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14:paraId="1F64BAEE">
            <w:pPr>
              <w:pStyle w:val="180"/>
            </w:pPr>
            <w:r>
              <w:rPr>
                <w:rFonts w:hint="eastAsia"/>
              </w:rPr>
              <w:t>采集指标与采集编码相一致，在系统中依此作为标准引用。</w:t>
            </w:r>
          </w:p>
          <w:p w14:paraId="76F1E65F">
            <w:pPr>
              <w:pStyle w:val="180"/>
            </w:pPr>
            <w:r>
              <w:rPr>
                <w:rFonts w:hint="eastAsia"/>
              </w:rPr>
              <w:t>工程编码是标记该设备的安装大体位置及与工程的依附关系。</w:t>
            </w:r>
          </w:p>
          <w:p w14:paraId="4733CB17">
            <w:pPr>
              <w:pStyle w:val="180"/>
            </w:pPr>
            <w:r>
              <w:rPr>
                <w:rFonts w:hint="eastAsia"/>
              </w:rPr>
              <w:t>采集单位采用国标对单位的要求，保留4位有效小数。</w:t>
            </w:r>
          </w:p>
          <w:p w14:paraId="78263588">
            <w:pPr>
              <w:pStyle w:val="180"/>
            </w:pPr>
            <w:r>
              <w:rPr>
                <w:rFonts w:hint="eastAsia"/>
              </w:rPr>
              <w:t>采集频率为采集平台接收设备采集数据的频率或设备采集数据后自动发送到采集平台的频率。</w:t>
            </w:r>
          </w:p>
          <w:p w14:paraId="5A361ECD">
            <w:pPr>
              <w:pStyle w:val="180"/>
            </w:pPr>
            <w:r>
              <w:rPr>
                <w:rFonts w:hint="eastAsia"/>
              </w:rPr>
              <w:t>有效阈值标记该设备能采集的最小最大量程分别是多少，为报警模型提供模型支撑。</w:t>
            </w:r>
          </w:p>
          <w:p w14:paraId="5D778348">
            <w:pPr>
              <w:pStyle w:val="180"/>
            </w:pPr>
            <w:r>
              <w:rPr>
                <w:rFonts w:hint="eastAsia"/>
              </w:rPr>
              <w:t>设备类型，标记数据是通过什么设备采集到。</w:t>
            </w:r>
          </w:p>
          <w:p w14:paraId="3D44D982">
            <w:pPr>
              <w:pStyle w:val="180"/>
              <w:rPr>
                <w:rFonts w:eastAsia="黑体"/>
                <w:bCs/>
                <w:sz w:val="21"/>
                <w:szCs w:val="21"/>
              </w:rPr>
            </w:pPr>
            <w:r>
              <w:rPr>
                <w:rFonts w:hint="eastAsia"/>
              </w:rPr>
              <w:t>设备采集数据后如何与采集平台进行对接，分别明确协议的类型、地址及采集管理地址信息。</w:t>
            </w:r>
          </w:p>
        </w:tc>
      </w:tr>
    </w:tbl>
    <w:p w14:paraId="6098BB32">
      <w:pPr>
        <w:pStyle w:val="56"/>
        <w:ind w:firstLine="420"/>
      </w:pPr>
    </w:p>
    <w:p w14:paraId="21BE90AC">
      <w:pPr>
        <w:pStyle w:val="56"/>
        <w:ind w:firstLine="420"/>
      </w:pPr>
    </w:p>
    <w:p w14:paraId="0040744D">
      <w:pPr>
        <w:pStyle w:val="56"/>
        <w:ind w:firstLine="420"/>
      </w:pPr>
    </w:p>
    <w:p w14:paraId="427D354E">
      <w:pPr>
        <w:pStyle w:val="56"/>
        <w:ind w:firstLine="420"/>
      </w:pPr>
    </w:p>
    <w:p w14:paraId="1CF818E5">
      <w:pPr>
        <w:pStyle w:val="78"/>
        <w:spacing w:before="156" w:after="156"/>
      </w:pPr>
      <w:bookmarkStart w:id="179" w:name="_Toc178153348"/>
      <w:r>
        <w:rPr>
          <w:rFonts w:hint="eastAsia"/>
        </w:rPr>
        <w:t>工程（闸）设计参数采集表</w:t>
      </w:r>
      <w:bookmarkEnd w:id="179"/>
    </w:p>
    <w:p w14:paraId="2EC1BED8">
      <w:pPr>
        <w:pStyle w:val="56"/>
        <w:ind w:firstLine="420"/>
      </w:pPr>
      <w:r>
        <w:rPr>
          <w:rFonts w:hint="eastAsia"/>
        </w:rPr>
        <w:t>骨干水网信息化建设过程中，工程（闸）设计参数数据的采集见表A.3。</w:t>
      </w:r>
    </w:p>
    <w:p w14:paraId="2F684135">
      <w:pPr>
        <w:pStyle w:val="77"/>
        <w:spacing w:before="156" w:after="156"/>
      </w:pPr>
      <w:r>
        <w:rPr>
          <w:rFonts w:hint="eastAsia"/>
        </w:rPr>
        <w:t>工程（闸）设计参数采集表</w:t>
      </w:r>
    </w:p>
    <w:tbl>
      <w:tblPr>
        <w:tblStyle w:val="26"/>
        <w:tblW w:w="49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3"/>
        <w:gridCol w:w="493"/>
        <w:gridCol w:w="493"/>
        <w:gridCol w:w="493"/>
        <w:gridCol w:w="493"/>
        <w:gridCol w:w="493"/>
        <w:gridCol w:w="493"/>
        <w:gridCol w:w="493"/>
        <w:gridCol w:w="493"/>
        <w:gridCol w:w="493"/>
        <w:gridCol w:w="493"/>
        <w:gridCol w:w="493"/>
        <w:gridCol w:w="493"/>
        <w:gridCol w:w="493"/>
        <w:gridCol w:w="493"/>
        <w:gridCol w:w="493"/>
        <w:gridCol w:w="493"/>
        <w:gridCol w:w="493"/>
        <w:gridCol w:w="493"/>
      </w:tblGrid>
      <w:tr w14:paraId="499D3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493" w:type="dxa"/>
            <w:vMerge w:val="restart"/>
            <w:tcBorders>
              <w:top w:val="single" w:color="000000" w:sz="8" w:space="0"/>
              <w:left w:val="single" w:color="000000" w:sz="8" w:space="0"/>
            </w:tcBorders>
            <w:shd w:val="clear" w:color="auto" w:fill="auto"/>
            <w:noWrap/>
            <w:tcMar>
              <w:top w:w="10" w:type="dxa"/>
              <w:left w:w="10" w:type="dxa"/>
              <w:right w:w="10" w:type="dxa"/>
            </w:tcMar>
            <w:vAlign w:val="center"/>
          </w:tcPr>
          <w:p w14:paraId="6B1AFED5">
            <w:pPr>
              <w:widowControl/>
              <w:adjustRightInd/>
              <w:spacing w:line="240" w:lineRule="auto"/>
              <w:jc w:val="center"/>
              <w:textAlignment w:val="center"/>
              <w:rPr>
                <w:rFonts w:ascii="宋体" w:hAnsi="宋体"/>
                <w:bCs/>
                <w:sz w:val="18"/>
                <w:szCs w:val="18"/>
              </w:rPr>
            </w:pPr>
            <w:r>
              <w:rPr>
                <w:rFonts w:hint="eastAsia" w:ascii="宋体" w:hAnsi="宋体" w:cs="宋体"/>
                <w:bCs/>
                <w:kern w:val="0"/>
                <w:sz w:val="18"/>
                <w:szCs w:val="18"/>
              </w:rPr>
              <w:t>编号</w:t>
            </w:r>
          </w:p>
        </w:tc>
        <w:tc>
          <w:tcPr>
            <w:tcW w:w="493" w:type="dxa"/>
            <w:vMerge w:val="restart"/>
            <w:tcBorders>
              <w:top w:val="single" w:color="000000" w:sz="8" w:space="0"/>
            </w:tcBorders>
            <w:shd w:val="clear" w:color="auto" w:fill="auto"/>
            <w:noWrap/>
            <w:tcMar>
              <w:top w:w="10" w:type="dxa"/>
              <w:left w:w="10" w:type="dxa"/>
              <w:right w:w="10" w:type="dxa"/>
            </w:tcMar>
            <w:vAlign w:val="center"/>
          </w:tcPr>
          <w:p w14:paraId="08BC45BD">
            <w:pPr>
              <w:widowControl/>
              <w:adjustRightInd/>
              <w:spacing w:line="240" w:lineRule="auto"/>
              <w:jc w:val="center"/>
              <w:textAlignment w:val="center"/>
              <w:rPr>
                <w:rFonts w:ascii="宋体" w:hAnsi="宋体"/>
                <w:bCs/>
                <w:sz w:val="18"/>
                <w:szCs w:val="18"/>
              </w:rPr>
            </w:pPr>
            <w:r>
              <w:rPr>
                <w:rFonts w:hint="eastAsia" w:ascii="宋体" w:hAnsi="宋体" w:cs="宋体"/>
                <w:bCs/>
                <w:sz w:val="18"/>
                <w:szCs w:val="18"/>
              </w:rPr>
              <w:t>工程编码</w:t>
            </w:r>
          </w:p>
        </w:tc>
        <w:tc>
          <w:tcPr>
            <w:tcW w:w="493" w:type="dxa"/>
            <w:vMerge w:val="restart"/>
            <w:tcBorders>
              <w:top w:val="single" w:color="000000" w:sz="8" w:space="0"/>
            </w:tcBorders>
            <w:shd w:val="clear" w:color="auto" w:fill="auto"/>
            <w:noWrap/>
            <w:tcMar>
              <w:top w:w="10" w:type="dxa"/>
              <w:left w:w="10" w:type="dxa"/>
              <w:right w:w="10" w:type="dxa"/>
            </w:tcMar>
            <w:vAlign w:val="center"/>
          </w:tcPr>
          <w:p w14:paraId="4C9448CD">
            <w:pPr>
              <w:widowControl/>
              <w:adjustRightInd/>
              <w:spacing w:line="240" w:lineRule="auto"/>
              <w:jc w:val="center"/>
              <w:textAlignment w:val="center"/>
              <w:rPr>
                <w:rFonts w:ascii="宋体" w:hAnsi="宋体"/>
                <w:bCs/>
                <w:sz w:val="18"/>
                <w:szCs w:val="18"/>
              </w:rPr>
            </w:pPr>
            <w:r>
              <w:rPr>
                <w:rFonts w:hint="eastAsia" w:ascii="宋体" w:hAnsi="宋体" w:cs="宋体"/>
                <w:bCs/>
                <w:sz w:val="18"/>
                <w:szCs w:val="18"/>
              </w:rPr>
              <w:t>工程类型</w:t>
            </w:r>
          </w:p>
        </w:tc>
        <w:tc>
          <w:tcPr>
            <w:tcW w:w="986" w:type="dxa"/>
            <w:gridSpan w:val="2"/>
            <w:tcBorders>
              <w:top w:val="single" w:color="000000" w:sz="8" w:space="0"/>
              <w:right w:val="single" w:color="auto" w:sz="4" w:space="0"/>
            </w:tcBorders>
            <w:shd w:val="clear" w:color="auto" w:fill="auto"/>
            <w:noWrap/>
            <w:tcMar>
              <w:top w:w="10" w:type="dxa"/>
              <w:left w:w="10" w:type="dxa"/>
              <w:right w:w="10" w:type="dxa"/>
            </w:tcMar>
            <w:vAlign w:val="center"/>
          </w:tcPr>
          <w:p w14:paraId="14C19EE8">
            <w:pPr>
              <w:widowControl/>
              <w:adjustRightInd/>
              <w:spacing w:line="240" w:lineRule="auto"/>
              <w:jc w:val="center"/>
              <w:textAlignment w:val="center"/>
              <w:rPr>
                <w:rFonts w:ascii="宋体" w:hAnsi="宋体"/>
                <w:bCs/>
                <w:sz w:val="18"/>
                <w:szCs w:val="18"/>
              </w:rPr>
            </w:pPr>
            <w:r>
              <w:rPr>
                <w:rFonts w:hint="eastAsia" w:ascii="宋体" w:hAnsi="宋体" w:cs="宋体"/>
                <w:bCs/>
                <w:sz w:val="18"/>
                <w:szCs w:val="18"/>
              </w:rPr>
              <w:t>渠底高程</w:t>
            </w:r>
          </w:p>
        </w:tc>
        <w:tc>
          <w:tcPr>
            <w:tcW w:w="986" w:type="dxa"/>
            <w:gridSpan w:val="2"/>
            <w:tcBorders>
              <w:top w:val="single" w:color="000000" w:sz="8" w:space="0"/>
            </w:tcBorders>
            <w:shd w:val="clear" w:color="auto" w:fill="auto"/>
            <w:tcMar>
              <w:top w:w="10" w:type="dxa"/>
              <w:left w:w="10" w:type="dxa"/>
              <w:right w:w="10" w:type="dxa"/>
            </w:tcMar>
            <w:vAlign w:val="center"/>
          </w:tcPr>
          <w:p w14:paraId="2CF49C42">
            <w:pPr>
              <w:widowControl/>
              <w:adjustRightInd/>
              <w:spacing w:line="240" w:lineRule="auto"/>
              <w:jc w:val="center"/>
              <w:textAlignment w:val="center"/>
              <w:rPr>
                <w:rFonts w:ascii="宋体" w:hAnsi="宋体"/>
                <w:bCs/>
                <w:sz w:val="18"/>
                <w:szCs w:val="18"/>
              </w:rPr>
            </w:pPr>
            <w:r>
              <w:rPr>
                <w:rFonts w:hint="eastAsia" w:ascii="宋体" w:hAnsi="宋体" w:cs="宋体"/>
                <w:bCs/>
                <w:sz w:val="18"/>
                <w:szCs w:val="18"/>
              </w:rPr>
              <w:t>堤顶高程</w:t>
            </w:r>
          </w:p>
        </w:tc>
        <w:tc>
          <w:tcPr>
            <w:tcW w:w="986" w:type="dxa"/>
            <w:gridSpan w:val="2"/>
            <w:tcBorders>
              <w:top w:val="single" w:color="000000" w:sz="8" w:space="0"/>
            </w:tcBorders>
            <w:shd w:val="clear" w:color="auto" w:fill="auto"/>
            <w:tcMar>
              <w:top w:w="10" w:type="dxa"/>
              <w:left w:w="10" w:type="dxa"/>
              <w:right w:w="10" w:type="dxa"/>
            </w:tcMar>
            <w:vAlign w:val="center"/>
          </w:tcPr>
          <w:p w14:paraId="556439CB">
            <w:pPr>
              <w:widowControl/>
              <w:adjustRightInd/>
              <w:spacing w:line="240" w:lineRule="auto"/>
              <w:jc w:val="center"/>
              <w:textAlignment w:val="center"/>
              <w:rPr>
                <w:rFonts w:ascii="宋体" w:hAnsi="宋体"/>
                <w:bCs/>
                <w:sz w:val="18"/>
                <w:szCs w:val="18"/>
              </w:rPr>
            </w:pPr>
            <w:r>
              <w:rPr>
                <w:rFonts w:hint="eastAsia" w:ascii="宋体" w:hAnsi="宋体" w:cs="宋体"/>
                <w:bCs/>
                <w:sz w:val="18"/>
                <w:szCs w:val="18"/>
              </w:rPr>
              <w:t>设计水位</w:t>
            </w:r>
          </w:p>
        </w:tc>
        <w:tc>
          <w:tcPr>
            <w:tcW w:w="986" w:type="dxa"/>
            <w:gridSpan w:val="2"/>
            <w:tcBorders>
              <w:top w:val="single" w:color="000000" w:sz="8" w:space="0"/>
            </w:tcBorders>
            <w:shd w:val="clear" w:color="auto" w:fill="auto"/>
            <w:noWrap/>
            <w:tcMar>
              <w:top w:w="10" w:type="dxa"/>
              <w:left w:w="10" w:type="dxa"/>
              <w:right w:w="10" w:type="dxa"/>
            </w:tcMar>
            <w:vAlign w:val="center"/>
          </w:tcPr>
          <w:p w14:paraId="4FA1BA76">
            <w:pPr>
              <w:widowControl/>
              <w:adjustRightInd/>
              <w:spacing w:line="240" w:lineRule="auto"/>
              <w:jc w:val="center"/>
              <w:textAlignment w:val="center"/>
              <w:rPr>
                <w:rFonts w:ascii="宋体" w:hAnsi="宋体"/>
                <w:bCs/>
                <w:sz w:val="18"/>
                <w:szCs w:val="18"/>
              </w:rPr>
            </w:pPr>
            <w:r>
              <w:rPr>
                <w:rFonts w:hint="eastAsia" w:ascii="宋体" w:hAnsi="宋体" w:cs="宋体"/>
                <w:bCs/>
                <w:sz w:val="18"/>
                <w:szCs w:val="18"/>
              </w:rPr>
              <w:t>加大设计水位</w:t>
            </w:r>
          </w:p>
        </w:tc>
        <w:tc>
          <w:tcPr>
            <w:tcW w:w="986" w:type="dxa"/>
            <w:gridSpan w:val="2"/>
            <w:tcBorders>
              <w:top w:val="single" w:color="000000" w:sz="8" w:space="0"/>
            </w:tcBorders>
            <w:shd w:val="clear" w:color="auto" w:fill="auto"/>
            <w:noWrap/>
            <w:tcMar>
              <w:top w:w="10" w:type="dxa"/>
              <w:left w:w="10" w:type="dxa"/>
              <w:right w:w="10" w:type="dxa"/>
            </w:tcMar>
            <w:vAlign w:val="center"/>
          </w:tcPr>
          <w:p w14:paraId="1BCC0C20">
            <w:pPr>
              <w:widowControl/>
              <w:adjustRightInd/>
              <w:spacing w:line="240" w:lineRule="auto"/>
              <w:jc w:val="center"/>
              <w:textAlignment w:val="center"/>
              <w:rPr>
                <w:rFonts w:ascii="宋体" w:hAnsi="宋体"/>
                <w:bCs/>
                <w:kern w:val="0"/>
                <w:sz w:val="18"/>
                <w:szCs w:val="18"/>
              </w:rPr>
            </w:pPr>
            <w:r>
              <w:rPr>
                <w:rFonts w:hint="eastAsia" w:ascii="宋体" w:hAnsi="宋体" w:cs="宋体"/>
                <w:bCs/>
                <w:kern w:val="0"/>
                <w:sz w:val="18"/>
                <w:szCs w:val="18"/>
              </w:rPr>
              <w:t>设计流量</w:t>
            </w:r>
          </w:p>
        </w:tc>
        <w:tc>
          <w:tcPr>
            <w:tcW w:w="986" w:type="dxa"/>
            <w:gridSpan w:val="2"/>
            <w:tcBorders>
              <w:top w:val="single" w:color="000000" w:sz="8" w:space="0"/>
            </w:tcBorders>
            <w:shd w:val="clear" w:color="auto" w:fill="auto"/>
            <w:noWrap/>
            <w:tcMar>
              <w:top w:w="10" w:type="dxa"/>
              <w:left w:w="10" w:type="dxa"/>
              <w:right w:w="10" w:type="dxa"/>
            </w:tcMar>
            <w:vAlign w:val="center"/>
          </w:tcPr>
          <w:p w14:paraId="1A523524">
            <w:pPr>
              <w:widowControl/>
              <w:adjustRightInd/>
              <w:spacing w:line="240" w:lineRule="auto"/>
              <w:jc w:val="center"/>
              <w:textAlignment w:val="center"/>
              <w:rPr>
                <w:rFonts w:ascii="宋体" w:hAnsi="宋体"/>
                <w:bCs/>
                <w:kern w:val="0"/>
                <w:sz w:val="18"/>
                <w:szCs w:val="18"/>
              </w:rPr>
            </w:pPr>
            <w:r>
              <w:rPr>
                <w:rFonts w:hint="eastAsia" w:ascii="宋体" w:hAnsi="宋体" w:cs="宋体"/>
                <w:bCs/>
                <w:kern w:val="0"/>
                <w:sz w:val="18"/>
                <w:szCs w:val="18"/>
              </w:rPr>
              <w:t>设计开度</w:t>
            </w:r>
          </w:p>
        </w:tc>
        <w:tc>
          <w:tcPr>
            <w:tcW w:w="493" w:type="dxa"/>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512A41A9">
            <w:pPr>
              <w:widowControl/>
              <w:adjustRightInd/>
              <w:spacing w:line="240" w:lineRule="auto"/>
              <w:jc w:val="center"/>
              <w:textAlignment w:val="center"/>
              <w:rPr>
                <w:rFonts w:ascii="宋体" w:hAnsi="宋体"/>
                <w:bCs/>
                <w:kern w:val="0"/>
                <w:sz w:val="18"/>
                <w:szCs w:val="18"/>
              </w:rPr>
            </w:pPr>
            <w:r>
              <w:rPr>
                <w:rFonts w:hint="eastAsia" w:ascii="宋体" w:hAnsi="宋体" w:cs="宋体"/>
                <w:bCs/>
                <w:kern w:val="0"/>
                <w:sz w:val="18"/>
                <w:szCs w:val="18"/>
              </w:rPr>
              <w:t>闸门类型</w:t>
            </w:r>
          </w:p>
        </w:tc>
        <w:tc>
          <w:tcPr>
            <w:tcW w:w="493" w:type="dxa"/>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1C48013B">
            <w:pPr>
              <w:widowControl/>
              <w:adjustRightInd/>
              <w:spacing w:line="240" w:lineRule="auto"/>
              <w:jc w:val="center"/>
              <w:textAlignment w:val="center"/>
              <w:rPr>
                <w:rFonts w:ascii="宋体" w:hAnsi="宋体"/>
                <w:bCs/>
                <w:kern w:val="0"/>
                <w:sz w:val="18"/>
                <w:szCs w:val="18"/>
              </w:rPr>
            </w:pPr>
            <w:r>
              <w:rPr>
                <w:rFonts w:hint="eastAsia" w:ascii="宋体" w:hAnsi="宋体" w:cs="宋体"/>
                <w:bCs/>
                <w:kern w:val="0"/>
                <w:sz w:val="18"/>
                <w:szCs w:val="18"/>
              </w:rPr>
              <w:t>闸门数量</w:t>
            </w:r>
          </w:p>
        </w:tc>
        <w:tc>
          <w:tcPr>
            <w:tcW w:w="493" w:type="dxa"/>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0B8000E9">
            <w:pPr>
              <w:widowControl/>
              <w:adjustRightInd/>
              <w:spacing w:line="240" w:lineRule="auto"/>
              <w:jc w:val="center"/>
              <w:textAlignment w:val="center"/>
              <w:rPr>
                <w:rFonts w:ascii="宋体" w:hAnsi="宋体"/>
                <w:bCs/>
                <w:kern w:val="0"/>
                <w:sz w:val="18"/>
                <w:szCs w:val="18"/>
              </w:rPr>
            </w:pPr>
            <w:r>
              <w:rPr>
                <w:rFonts w:hint="eastAsia" w:ascii="宋体" w:hAnsi="宋体" w:cs="宋体"/>
                <w:bCs/>
                <w:kern w:val="0"/>
                <w:sz w:val="18"/>
                <w:szCs w:val="18"/>
              </w:rPr>
              <w:t>坡比</w:t>
            </w:r>
          </w:p>
        </w:tc>
        <w:tc>
          <w:tcPr>
            <w:tcW w:w="493" w:type="dxa"/>
            <w:vMerge w:val="restart"/>
            <w:tcBorders>
              <w:top w:val="single" w:color="000000" w:sz="8" w:space="0"/>
              <w:bottom w:val="single" w:color="auto" w:sz="8" w:space="0"/>
              <w:right w:val="single" w:color="000000" w:sz="8" w:space="0"/>
            </w:tcBorders>
            <w:shd w:val="clear" w:color="auto" w:fill="auto"/>
            <w:noWrap/>
            <w:tcMar>
              <w:top w:w="10" w:type="dxa"/>
              <w:left w:w="10" w:type="dxa"/>
              <w:right w:w="10" w:type="dxa"/>
            </w:tcMar>
            <w:vAlign w:val="center"/>
          </w:tcPr>
          <w:p w14:paraId="22F13D99">
            <w:pPr>
              <w:widowControl/>
              <w:adjustRightInd/>
              <w:spacing w:line="240" w:lineRule="auto"/>
              <w:jc w:val="center"/>
              <w:textAlignment w:val="center"/>
              <w:rPr>
                <w:rFonts w:ascii="宋体" w:hAnsi="宋体"/>
                <w:bCs/>
                <w:sz w:val="18"/>
                <w:szCs w:val="18"/>
              </w:rPr>
            </w:pPr>
            <w:r>
              <w:rPr>
                <w:rFonts w:hint="eastAsia" w:ascii="宋体" w:hAnsi="宋体" w:cs="宋体"/>
                <w:bCs/>
                <w:kern w:val="0"/>
                <w:sz w:val="18"/>
                <w:szCs w:val="18"/>
              </w:rPr>
              <w:t>备注</w:t>
            </w:r>
          </w:p>
        </w:tc>
      </w:tr>
      <w:tr w14:paraId="5C4AF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493" w:type="dxa"/>
            <w:vMerge w:val="continue"/>
            <w:tcBorders>
              <w:left w:val="single" w:color="000000" w:sz="8" w:space="0"/>
              <w:bottom w:val="single" w:color="auto" w:sz="8" w:space="0"/>
            </w:tcBorders>
            <w:shd w:val="clear" w:color="auto" w:fill="auto"/>
            <w:noWrap/>
            <w:tcMar>
              <w:top w:w="10" w:type="dxa"/>
              <w:left w:w="10" w:type="dxa"/>
              <w:right w:w="10" w:type="dxa"/>
            </w:tcMar>
            <w:vAlign w:val="center"/>
          </w:tcPr>
          <w:p w14:paraId="4F63E375">
            <w:pPr>
              <w:widowControl/>
              <w:adjustRightInd/>
              <w:spacing w:line="240" w:lineRule="auto"/>
              <w:jc w:val="center"/>
              <w:textAlignment w:val="center"/>
              <w:rPr>
                <w:rFonts w:ascii="宋体" w:hAnsi="宋体"/>
                <w:sz w:val="18"/>
                <w:szCs w:val="18"/>
              </w:rPr>
            </w:pPr>
          </w:p>
        </w:tc>
        <w:tc>
          <w:tcPr>
            <w:tcW w:w="493" w:type="dxa"/>
            <w:vMerge w:val="continue"/>
            <w:tcBorders>
              <w:bottom w:val="single" w:color="auto" w:sz="8" w:space="0"/>
            </w:tcBorders>
            <w:shd w:val="clear" w:color="auto" w:fill="auto"/>
            <w:noWrap/>
            <w:tcMar>
              <w:top w:w="10" w:type="dxa"/>
              <w:left w:w="10" w:type="dxa"/>
              <w:right w:w="10" w:type="dxa"/>
            </w:tcMar>
            <w:vAlign w:val="center"/>
          </w:tcPr>
          <w:p w14:paraId="16CBBB00">
            <w:pPr>
              <w:widowControl/>
              <w:adjustRightInd/>
              <w:spacing w:line="240" w:lineRule="auto"/>
              <w:jc w:val="center"/>
              <w:textAlignment w:val="center"/>
              <w:rPr>
                <w:rFonts w:ascii="宋体" w:hAnsi="宋体"/>
                <w:sz w:val="18"/>
                <w:szCs w:val="18"/>
              </w:rPr>
            </w:pPr>
          </w:p>
        </w:tc>
        <w:tc>
          <w:tcPr>
            <w:tcW w:w="493" w:type="dxa"/>
            <w:vMerge w:val="continue"/>
            <w:tcBorders>
              <w:bottom w:val="single" w:color="auto" w:sz="8" w:space="0"/>
            </w:tcBorders>
            <w:shd w:val="clear" w:color="auto" w:fill="auto"/>
            <w:noWrap/>
            <w:tcMar>
              <w:top w:w="10" w:type="dxa"/>
              <w:left w:w="10" w:type="dxa"/>
              <w:right w:w="10" w:type="dxa"/>
            </w:tcMar>
            <w:vAlign w:val="center"/>
          </w:tcPr>
          <w:p w14:paraId="64FEC81D">
            <w:pPr>
              <w:widowControl/>
              <w:adjustRightInd/>
              <w:spacing w:line="240" w:lineRule="auto"/>
              <w:jc w:val="center"/>
              <w:textAlignment w:val="center"/>
              <w:rPr>
                <w:rFonts w:ascii="宋体" w:hAnsi="宋体"/>
                <w:sz w:val="18"/>
                <w:szCs w:val="18"/>
              </w:rPr>
            </w:pPr>
          </w:p>
        </w:tc>
        <w:tc>
          <w:tcPr>
            <w:tcW w:w="493" w:type="dxa"/>
            <w:tcBorders>
              <w:bottom w:val="single" w:color="auto" w:sz="8" w:space="0"/>
              <w:right w:val="single" w:color="auto" w:sz="4" w:space="0"/>
            </w:tcBorders>
            <w:shd w:val="clear" w:color="auto" w:fill="auto"/>
            <w:noWrap/>
            <w:tcMar>
              <w:top w:w="10" w:type="dxa"/>
              <w:left w:w="10" w:type="dxa"/>
              <w:right w:w="10" w:type="dxa"/>
            </w:tcMar>
            <w:vAlign w:val="center"/>
          </w:tcPr>
          <w:p w14:paraId="6C919C6B">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前</w:t>
            </w:r>
          </w:p>
          <w:p w14:paraId="6179E85B">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right w:val="single" w:color="auto" w:sz="4" w:space="0"/>
            </w:tcBorders>
            <w:shd w:val="clear" w:color="auto" w:fill="auto"/>
            <w:noWrap/>
            <w:tcMar>
              <w:top w:w="10" w:type="dxa"/>
              <w:left w:w="10" w:type="dxa"/>
              <w:right w:w="10" w:type="dxa"/>
            </w:tcMar>
            <w:vAlign w:val="center"/>
          </w:tcPr>
          <w:p w14:paraId="5A44462B">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后</w:t>
            </w:r>
          </w:p>
          <w:p w14:paraId="3CFD2FBB">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tcBorders>
            <w:shd w:val="clear" w:color="auto" w:fill="auto"/>
            <w:tcMar>
              <w:top w:w="10" w:type="dxa"/>
              <w:left w:w="10" w:type="dxa"/>
              <w:right w:w="10" w:type="dxa"/>
            </w:tcMar>
            <w:vAlign w:val="center"/>
          </w:tcPr>
          <w:p w14:paraId="412A98B2">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左</w:t>
            </w:r>
          </w:p>
          <w:p w14:paraId="280CDD93">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tcBorders>
            <w:shd w:val="clear" w:color="auto" w:fill="auto"/>
            <w:tcMar>
              <w:top w:w="10" w:type="dxa"/>
              <w:left w:w="10" w:type="dxa"/>
              <w:right w:w="10" w:type="dxa"/>
            </w:tcMar>
            <w:vAlign w:val="center"/>
          </w:tcPr>
          <w:p w14:paraId="2694A1BD">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右</w:t>
            </w:r>
          </w:p>
          <w:p w14:paraId="79F77A56">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tcBorders>
            <w:shd w:val="clear" w:color="auto" w:fill="auto"/>
            <w:tcMar>
              <w:top w:w="10" w:type="dxa"/>
              <w:left w:w="10" w:type="dxa"/>
              <w:right w:w="10" w:type="dxa"/>
            </w:tcMar>
            <w:vAlign w:val="center"/>
          </w:tcPr>
          <w:p w14:paraId="6ABB6FD0">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前</w:t>
            </w:r>
          </w:p>
          <w:p w14:paraId="35F57398">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tcBorders>
            <w:shd w:val="clear" w:color="auto" w:fill="auto"/>
            <w:tcMar>
              <w:top w:w="10" w:type="dxa"/>
              <w:left w:w="10" w:type="dxa"/>
              <w:right w:w="10" w:type="dxa"/>
            </w:tcMar>
            <w:vAlign w:val="center"/>
          </w:tcPr>
          <w:p w14:paraId="4374E0BC">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后</w:t>
            </w:r>
          </w:p>
          <w:p w14:paraId="2CE3644F">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tcBorders>
            <w:shd w:val="clear" w:color="auto" w:fill="auto"/>
            <w:noWrap/>
            <w:tcMar>
              <w:top w:w="10" w:type="dxa"/>
              <w:left w:w="10" w:type="dxa"/>
              <w:right w:w="10" w:type="dxa"/>
            </w:tcMar>
            <w:vAlign w:val="center"/>
          </w:tcPr>
          <w:p w14:paraId="3BDB5156">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前</w:t>
            </w:r>
          </w:p>
          <w:p w14:paraId="2E56C5A7">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tcBorders>
            <w:shd w:val="clear" w:color="auto" w:fill="auto"/>
            <w:noWrap/>
            <w:tcMar>
              <w:top w:w="10" w:type="dxa"/>
              <w:left w:w="10" w:type="dxa"/>
              <w:right w:w="10" w:type="dxa"/>
            </w:tcMar>
            <w:vAlign w:val="center"/>
          </w:tcPr>
          <w:p w14:paraId="052DD24E">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后</w:t>
            </w:r>
          </w:p>
          <w:p w14:paraId="429A68DD">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tcBorders>
            <w:shd w:val="clear" w:color="auto" w:fill="auto"/>
            <w:noWrap/>
            <w:tcMar>
              <w:top w:w="10" w:type="dxa"/>
              <w:left w:w="10" w:type="dxa"/>
              <w:right w:w="10" w:type="dxa"/>
            </w:tcMar>
            <w:vAlign w:val="center"/>
          </w:tcPr>
          <w:p w14:paraId="397A34EE">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小</w:t>
            </w:r>
          </w:p>
          <w:p w14:paraId="37042540">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r>
              <w:rPr>
                <w:rFonts w:hint="eastAsia" w:ascii="宋体" w:hAnsi="宋体" w:cs="宋体"/>
                <w:bCs/>
                <w:sz w:val="18"/>
                <w:szCs w:val="18"/>
                <w:vertAlign w:val="superscript"/>
              </w:rPr>
              <w:t>3</w:t>
            </w:r>
            <w:r>
              <w:rPr>
                <w:rFonts w:hint="eastAsia" w:ascii="宋体" w:hAnsi="宋体" w:cs="宋体"/>
                <w:bCs/>
                <w:sz w:val="18"/>
                <w:szCs w:val="18"/>
              </w:rPr>
              <w:t>/s</w:t>
            </w:r>
          </w:p>
        </w:tc>
        <w:tc>
          <w:tcPr>
            <w:tcW w:w="493" w:type="dxa"/>
            <w:tcBorders>
              <w:bottom w:val="single" w:color="auto" w:sz="8" w:space="0"/>
            </w:tcBorders>
            <w:shd w:val="clear" w:color="auto" w:fill="auto"/>
            <w:noWrap/>
            <w:tcMar>
              <w:top w:w="10" w:type="dxa"/>
              <w:left w:w="10" w:type="dxa"/>
              <w:right w:w="10" w:type="dxa"/>
            </w:tcMar>
            <w:vAlign w:val="center"/>
          </w:tcPr>
          <w:p w14:paraId="524A8D83">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大</w:t>
            </w:r>
          </w:p>
          <w:p w14:paraId="4822AC74">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r>
              <w:rPr>
                <w:rFonts w:hint="eastAsia" w:ascii="宋体" w:hAnsi="宋体" w:cs="宋体"/>
                <w:bCs/>
                <w:sz w:val="18"/>
                <w:szCs w:val="18"/>
                <w:vertAlign w:val="superscript"/>
              </w:rPr>
              <w:t>3</w:t>
            </w:r>
            <w:r>
              <w:rPr>
                <w:rFonts w:hint="eastAsia" w:ascii="宋体" w:hAnsi="宋体" w:cs="宋体"/>
                <w:bCs/>
                <w:sz w:val="18"/>
                <w:szCs w:val="18"/>
              </w:rPr>
              <w:t>/s</w:t>
            </w:r>
          </w:p>
        </w:tc>
        <w:tc>
          <w:tcPr>
            <w:tcW w:w="493" w:type="dxa"/>
            <w:tcBorders>
              <w:bottom w:val="single" w:color="auto" w:sz="8" w:space="0"/>
            </w:tcBorders>
            <w:shd w:val="clear" w:color="auto" w:fill="auto"/>
            <w:noWrap/>
            <w:tcMar>
              <w:top w:w="10" w:type="dxa"/>
              <w:left w:w="10" w:type="dxa"/>
              <w:right w:w="10" w:type="dxa"/>
            </w:tcMar>
            <w:vAlign w:val="center"/>
          </w:tcPr>
          <w:p w14:paraId="2F3FD814">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小</w:t>
            </w:r>
          </w:p>
          <w:p w14:paraId="3AA1E30D">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tcBorders>
              <w:bottom w:val="single" w:color="auto" w:sz="8" w:space="0"/>
            </w:tcBorders>
            <w:shd w:val="clear" w:color="auto" w:fill="auto"/>
            <w:noWrap/>
            <w:tcMar>
              <w:top w:w="10" w:type="dxa"/>
              <w:left w:w="10" w:type="dxa"/>
              <w:right w:w="10" w:type="dxa"/>
            </w:tcMar>
            <w:vAlign w:val="center"/>
          </w:tcPr>
          <w:p w14:paraId="18BD3F14">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大</w:t>
            </w:r>
          </w:p>
          <w:p w14:paraId="78C16BE5">
            <w:pPr>
              <w:widowControl/>
              <w:adjustRightInd/>
              <w:spacing w:line="240" w:lineRule="auto"/>
              <w:jc w:val="center"/>
              <w:textAlignment w:val="center"/>
              <w:rPr>
                <w:rFonts w:ascii="宋体" w:hAnsi="宋体" w:cs="宋体"/>
                <w:bCs/>
                <w:sz w:val="18"/>
                <w:szCs w:val="18"/>
              </w:rPr>
            </w:pPr>
            <w:r>
              <w:rPr>
                <w:rFonts w:hint="eastAsia" w:ascii="宋体" w:hAnsi="宋体" w:cs="宋体"/>
                <w:bCs/>
                <w:sz w:val="18"/>
                <w:szCs w:val="18"/>
              </w:rPr>
              <w:t>m</w:t>
            </w:r>
          </w:p>
        </w:tc>
        <w:tc>
          <w:tcPr>
            <w:tcW w:w="493" w:type="dxa"/>
            <w:vMerge w:val="continue"/>
            <w:tcBorders>
              <w:bottom w:val="single" w:color="auto" w:sz="8" w:space="0"/>
            </w:tcBorders>
            <w:shd w:val="clear" w:color="auto" w:fill="auto"/>
            <w:noWrap/>
            <w:tcMar>
              <w:top w:w="10" w:type="dxa"/>
              <w:left w:w="10" w:type="dxa"/>
              <w:right w:w="10" w:type="dxa"/>
            </w:tcMar>
            <w:vAlign w:val="center"/>
          </w:tcPr>
          <w:p w14:paraId="52CFBC67">
            <w:pPr>
              <w:widowControl/>
              <w:adjustRightInd/>
              <w:spacing w:line="240" w:lineRule="auto"/>
              <w:jc w:val="center"/>
              <w:textAlignment w:val="center"/>
              <w:rPr>
                <w:rFonts w:ascii="宋体" w:hAnsi="宋体"/>
                <w:bCs/>
                <w:sz w:val="18"/>
                <w:szCs w:val="18"/>
              </w:rPr>
            </w:pPr>
          </w:p>
        </w:tc>
        <w:tc>
          <w:tcPr>
            <w:tcW w:w="493" w:type="dxa"/>
            <w:vMerge w:val="continue"/>
            <w:tcBorders>
              <w:bottom w:val="single" w:color="auto" w:sz="8" w:space="0"/>
            </w:tcBorders>
            <w:shd w:val="clear" w:color="auto" w:fill="auto"/>
            <w:noWrap/>
            <w:tcMar>
              <w:top w:w="10" w:type="dxa"/>
              <w:left w:w="10" w:type="dxa"/>
              <w:right w:w="10" w:type="dxa"/>
            </w:tcMar>
            <w:vAlign w:val="center"/>
          </w:tcPr>
          <w:p w14:paraId="034B26E2">
            <w:pPr>
              <w:widowControl/>
              <w:adjustRightInd/>
              <w:spacing w:line="240" w:lineRule="auto"/>
              <w:jc w:val="center"/>
              <w:textAlignment w:val="center"/>
              <w:rPr>
                <w:rFonts w:ascii="宋体" w:hAnsi="宋体"/>
                <w:bCs/>
                <w:sz w:val="18"/>
                <w:szCs w:val="18"/>
              </w:rPr>
            </w:pPr>
          </w:p>
        </w:tc>
        <w:tc>
          <w:tcPr>
            <w:tcW w:w="493" w:type="dxa"/>
            <w:vMerge w:val="continue"/>
            <w:tcBorders>
              <w:bottom w:val="single" w:color="auto" w:sz="8" w:space="0"/>
            </w:tcBorders>
            <w:shd w:val="clear" w:color="auto" w:fill="auto"/>
            <w:noWrap/>
            <w:tcMar>
              <w:top w:w="10" w:type="dxa"/>
              <w:left w:w="10" w:type="dxa"/>
              <w:right w:w="10" w:type="dxa"/>
            </w:tcMar>
            <w:vAlign w:val="center"/>
          </w:tcPr>
          <w:p w14:paraId="534DB570">
            <w:pPr>
              <w:widowControl/>
              <w:adjustRightInd/>
              <w:spacing w:line="240" w:lineRule="auto"/>
              <w:jc w:val="center"/>
              <w:textAlignment w:val="center"/>
              <w:rPr>
                <w:rFonts w:ascii="宋体" w:hAnsi="宋体"/>
                <w:bCs/>
                <w:sz w:val="18"/>
                <w:szCs w:val="18"/>
              </w:rPr>
            </w:pPr>
          </w:p>
        </w:tc>
        <w:tc>
          <w:tcPr>
            <w:tcW w:w="493" w:type="dxa"/>
            <w:vMerge w:val="continue"/>
            <w:tcBorders>
              <w:bottom w:val="single" w:color="auto" w:sz="8" w:space="0"/>
              <w:right w:val="single" w:color="000000" w:sz="8" w:space="0"/>
            </w:tcBorders>
            <w:shd w:val="clear" w:color="auto" w:fill="auto"/>
            <w:noWrap/>
            <w:tcMar>
              <w:top w:w="10" w:type="dxa"/>
              <w:left w:w="10" w:type="dxa"/>
              <w:right w:w="10" w:type="dxa"/>
            </w:tcMar>
            <w:vAlign w:val="center"/>
          </w:tcPr>
          <w:p w14:paraId="21CFEA6A">
            <w:pPr>
              <w:widowControl/>
              <w:adjustRightInd/>
              <w:spacing w:line="240" w:lineRule="auto"/>
              <w:jc w:val="center"/>
              <w:textAlignment w:val="center"/>
              <w:rPr>
                <w:rFonts w:ascii="宋体" w:hAnsi="宋体"/>
                <w:bCs/>
                <w:sz w:val="18"/>
                <w:szCs w:val="18"/>
              </w:rPr>
            </w:pPr>
          </w:p>
        </w:tc>
      </w:tr>
      <w:tr w14:paraId="4DCD5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93" w:type="dxa"/>
            <w:tcBorders>
              <w:top w:val="single" w:color="auto" w:sz="8" w:space="0"/>
              <w:left w:val="single" w:color="000000" w:sz="8" w:space="0"/>
              <w:bottom w:val="single" w:color="auto" w:sz="8" w:space="0"/>
            </w:tcBorders>
            <w:shd w:val="clear" w:color="auto" w:fill="auto"/>
            <w:noWrap/>
            <w:tcMar>
              <w:top w:w="10" w:type="dxa"/>
              <w:left w:w="10" w:type="dxa"/>
              <w:right w:w="10" w:type="dxa"/>
            </w:tcMar>
            <w:vAlign w:val="center"/>
          </w:tcPr>
          <w:p w14:paraId="2896C1C3">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15F385F7">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7054DFB0">
            <w:pPr>
              <w:adjustRightInd/>
              <w:spacing w:line="240" w:lineRule="auto"/>
              <w:jc w:val="center"/>
              <w:rPr>
                <w:rFonts w:ascii="宋体" w:hAnsi="宋体"/>
                <w:sz w:val="18"/>
                <w:szCs w:val="18"/>
              </w:rPr>
            </w:pPr>
          </w:p>
        </w:tc>
        <w:tc>
          <w:tcPr>
            <w:tcW w:w="493" w:type="dxa"/>
            <w:tcBorders>
              <w:top w:val="single" w:color="auto" w:sz="8" w:space="0"/>
              <w:bottom w:val="single" w:color="auto" w:sz="8" w:space="0"/>
              <w:right w:val="single" w:color="auto" w:sz="4" w:space="0"/>
            </w:tcBorders>
            <w:shd w:val="clear" w:color="auto" w:fill="auto"/>
            <w:noWrap/>
            <w:tcMar>
              <w:top w:w="10" w:type="dxa"/>
              <w:left w:w="10" w:type="dxa"/>
              <w:right w:w="10" w:type="dxa"/>
            </w:tcMar>
            <w:vAlign w:val="center"/>
          </w:tcPr>
          <w:p w14:paraId="12F185DF">
            <w:pPr>
              <w:adjustRightInd/>
              <w:spacing w:line="240" w:lineRule="auto"/>
              <w:jc w:val="center"/>
              <w:rPr>
                <w:rFonts w:ascii="宋体" w:hAnsi="宋体"/>
                <w:sz w:val="18"/>
                <w:szCs w:val="18"/>
              </w:rPr>
            </w:pPr>
          </w:p>
        </w:tc>
        <w:tc>
          <w:tcPr>
            <w:tcW w:w="493" w:type="dxa"/>
            <w:tcBorders>
              <w:top w:val="single" w:color="auto" w:sz="8" w:space="0"/>
              <w:bottom w:val="single" w:color="auto" w:sz="8" w:space="0"/>
              <w:right w:val="single" w:color="auto" w:sz="4" w:space="0"/>
            </w:tcBorders>
            <w:shd w:val="clear" w:color="auto" w:fill="auto"/>
            <w:noWrap/>
            <w:tcMar>
              <w:top w:w="10" w:type="dxa"/>
              <w:left w:w="10" w:type="dxa"/>
              <w:right w:w="10" w:type="dxa"/>
            </w:tcMar>
            <w:vAlign w:val="center"/>
          </w:tcPr>
          <w:p w14:paraId="5FF1C122">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595D2700">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47F30441">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5EA3AF57">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5F9F1DEE">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2C657B0A">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6BD446B8">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0DEA450D">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12642E2C">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7DE1B70E">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54F2F634">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3028BFD2">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6D99DECB">
            <w:pPr>
              <w:adjustRightInd/>
              <w:spacing w:line="240" w:lineRule="auto"/>
              <w:jc w:val="center"/>
              <w:rPr>
                <w:rFonts w:ascii="宋体" w:hAnsi="宋体"/>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0198BF0B">
            <w:pPr>
              <w:adjustRightInd/>
              <w:spacing w:line="240" w:lineRule="auto"/>
              <w:jc w:val="center"/>
              <w:rPr>
                <w:rFonts w:ascii="宋体" w:hAnsi="宋体"/>
                <w:sz w:val="18"/>
                <w:szCs w:val="18"/>
              </w:rPr>
            </w:pPr>
          </w:p>
        </w:tc>
        <w:tc>
          <w:tcPr>
            <w:tcW w:w="493" w:type="dxa"/>
            <w:tcBorders>
              <w:top w:val="single" w:color="auto" w:sz="8" w:space="0"/>
              <w:bottom w:val="single" w:color="auto" w:sz="8" w:space="0"/>
              <w:right w:val="single" w:color="000000" w:sz="8" w:space="0"/>
            </w:tcBorders>
            <w:shd w:val="clear" w:color="auto" w:fill="auto"/>
            <w:noWrap/>
            <w:tcMar>
              <w:top w:w="10" w:type="dxa"/>
              <w:left w:w="10" w:type="dxa"/>
              <w:right w:w="10" w:type="dxa"/>
            </w:tcMar>
            <w:vAlign w:val="center"/>
          </w:tcPr>
          <w:p w14:paraId="661834BD">
            <w:pPr>
              <w:adjustRightInd/>
              <w:spacing w:line="240" w:lineRule="auto"/>
              <w:jc w:val="center"/>
              <w:rPr>
                <w:rFonts w:ascii="宋体" w:hAnsi="宋体"/>
                <w:sz w:val="18"/>
                <w:szCs w:val="18"/>
              </w:rPr>
            </w:pPr>
          </w:p>
        </w:tc>
      </w:tr>
      <w:tr w14:paraId="2A8B4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9367" w:type="dxa"/>
            <w:gridSpan w:val="19"/>
            <w:tcBorders>
              <w:top w:val="single" w:color="auto"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14:paraId="781047E9">
            <w:pPr>
              <w:pStyle w:val="180"/>
              <w:numPr>
                <w:ilvl w:val="0"/>
                <w:numId w:val="32"/>
              </w:numPr>
            </w:pPr>
            <w:r>
              <w:rPr>
                <w:rFonts w:hint="eastAsia"/>
              </w:rPr>
              <w:t>工程编码是标记该设备的安装大体位置及与工程的依附关系。</w:t>
            </w:r>
          </w:p>
          <w:p w14:paraId="4DC8D0AB">
            <w:pPr>
              <w:pStyle w:val="180"/>
            </w:pPr>
            <w:r>
              <w:rPr>
                <w:rFonts w:hint="eastAsia"/>
              </w:rPr>
              <w:t>工程类型标记所属工程是渠道、泵站、闸站、湖泊、水库、管道井、大型附属设施，由管理单位统一进行编码，编码与名称有唯一的对应关系，是制作数据字典的依据。</w:t>
            </w:r>
          </w:p>
          <w:p w14:paraId="08FF0AA2">
            <w:pPr>
              <w:pStyle w:val="180"/>
            </w:pPr>
            <w:r>
              <w:rPr>
                <w:rFonts w:hint="eastAsia"/>
              </w:rPr>
              <w:t>渠底高程标记建筑物前后的基准，是校核采集设备的主要依据，闸为闸前/后渠底高程，泵为前/后池高程。</w:t>
            </w:r>
          </w:p>
          <w:p w14:paraId="6CF50BEE">
            <w:pPr>
              <w:pStyle w:val="180"/>
            </w:pPr>
            <w:r>
              <w:rPr>
                <w:rFonts w:hint="eastAsia"/>
              </w:rPr>
              <w:t>堤顶高程标记建筑物左右最高的基准，是进行预警预报的主要依据。</w:t>
            </w:r>
          </w:p>
          <w:p w14:paraId="65F6AA26">
            <w:pPr>
              <w:pStyle w:val="180"/>
            </w:pPr>
            <w:r>
              <w:rPr>
                <w:rFonts w:hint="eastAsia"/>
              </w:rPr>
              <w:t>设计水位标记正常调水时水位的保持情况，同最低水位、加大设计水位共同为水量调度的模型计算提供支撑。</w:t>
            </w:r>
          </w:p>
          <w:p w14:paraId="79B523BD">
            <w:pPr>
              <w:pStyle w:val="180"/>
            </w:pPr>
            <w:r>
              <w:rPr>
                <w:rFonts w:hint="eastAsia"/>
              </w:rPr>
              <w:t>设计流量标记正常调水的流量保持情况，是闸门开度重要的参考依据。</w:t>
            </w:r>
          </w:p>
          <w:p w14:paraId="475F7215">
            <w:pPr>
              <w:pStyle w:val="180"/>
              <w:rPr>
                <w:bCs/>
              </w:rPr>
            </w:pPr>
            <w:r>
              <w:rPr>
                <w:rFonts w:hint="eastAsia"/>
              </w:rPr>
              <w:t>设计开度标记为闸门的最大最小阈值，在调度时不能超过限位信息。</w:t>
            </w:r>
          </w:p>
          <w:p w14:paraId="6BFE3DD5">
            <w:pPr>
              <w:pStyle w:val="180"/>
            </w:pPr>
            <w:r>
              <w:rPr>
                <w:rFonts w:hint="eastAsia"/>
              </w:rPr>
              <w:t>闸门类型标记闸门是螺杆、卷扬、液压，并标记该建筑物闸门数量。</w:t>
            </w:r>
          </w:p>
          <w:p w14:paraId="4662A680">
            <w:pPr>
              <w:pStyle w:val="180"/>
            </w:pPr>
            <w:r>
              <w:rPr>
                <w:rFonts w:hint="eastAsia"/>
              </w:rPr>
              <w:t>坡比标记渠道的倾斜程度，作为水量调度信息计算水量的主要依</w:t>
            </w:r>
            <w:r>
              <w:rPr>
                <w:rFonts w:hint="eastAsia"/>
                <w:bCs/>
              </w:rPr>
              <w:t>据。</w:t>
            </w:r>
          </w:p>
        </w:tc>
      </w:tr>
    </w:tbl>
    <w:p w14:paraId="25C9BC28">
      <w:pPr>
        <w:pStyle w:val="78"/>
        <w:spacing w:before="156" w:after="156"/>
      </w:pPr>
      <w:bookmarkStart w:id="180" w:name="_Toc178153349"/>
      <w:r>
        <w:rPr>
          <w:rFonts w:hint="eastAsia"/>
        </w:rPr>
        <w:t>工程（泵）设计参数采集表</w:t>
      </w:r>
      <w:bookmarkEnd w:id="180"/>
    </w:p>
    <w:p w14:paraId="114833D8">
      <w:pPr>
        <w:pStyle w:val="56"/>
        <w:ind w:firstLine="420"/>
      </w:pPr>
      <w:r>
        <w:rPr>
          <w:rFonts w:hint="eastAsia"/>
        </w:rPr>
        <w:t>骨干水网信息化建设过程中，工程（泵）设计参数数据的采集见表A.4。</w:t>
      </w:r>
    </w:p>
    <w:p w14:paraId="433F30C6">
      <w:pPr>
        <w:pStyle w:val="77"/>
        <w:spacing w:before="156" w:after="156"/>
      </w:pPr>
      <w:r>
        <w:rPr>
          <w:rFonts w:hint="eastAsia"/>
        </w:rPr>
        <w:t>工程（泵）设计参数采集表</w:t>
      </w:r>
    </w:p>
    <w:tbl>
      <w:tblPr>
        <w:tblStyle w:val="26"/>
        <w:tblW w:w="499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1"/>
        <w:gridCol w:w="493"/>
        <w:gridCol w:w="493"/>
        <w:gridCol w:w="433"/>
        <w:gridCol w:w="364"/>
        <w:gridCol w:w="420"/>
        <w:gridCol w:w="539"/>
        <w:gridCol w:w="462"/>
        <w:gridCol w:w="462"/>
        <w:gridCol w:w="434"/>
        <w:gridCol w:w="406"/>
        <w:gridCol w:w="448"/>
        <w:gridCol w:w="475"/>
        <w:gridCol w:w="420"/>
        <w:gridCol w:w="518"/>
        <w:gridCol w:w="518"/>
        <w:gridCol w:w="462"/>
        <w:gridCol w:w="518"/>
        <w:gridCol w:w="574"/>
        <w:gridCol w:w="483"/>
      </w:tblGrid>
      <w:tr w14:paraId="5040F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441" w:type="dxa"/>
            <w:vMerge w:val="restart"/>
            <w:tcBorders>
              <w:top w:val="single" w:color="000000" w:sz="8" w:space="0"/>
              <w:left w:val="single" w:color="000000" w:sz="8" w:space="0"/>
            </w:tcBorders>
            <w:shd w:val="clear" w:color="auto" w:fill="auto"/>
            <w:noWrap/>
            <w:tcMar>
              <w:top w:w="10" w:type="dxa"/>
              <w:left w:w="10" w:type="dxa"/>
              <w:right w:w="10" w:type="dxa"/>
            </w:tcMar>
            <w:vAlign w:val="center"/>
          </w:tcPr>
          <w:p w14:paraId="54A8DB08">
            <w:pPr>
              <w:widowControl/>
              <w:adjustRightInd/>
              <w:spacing w:line="240" w:lineRule="auto"/>
              <w:jc w:val="center"/>
              <w:rPr>
                <w:rFonts w:ascii="宋体" w:hAnsi="宋体" w:cs="宋体"/>
                <w:bCs/>
                <w:sz w:val="18"/>
                <w:szCs w:val="18"/>
              </w:rPr>
            </w:pPr>
            <w:r>
              <w:rPr>
                <w:rFonts w:hint="eastAsia" w:ascii="宋体" w:hAnsi="宋体" w:cs="宋体"/>
                <w:bCs/>
                <w:sz w:val="18"/>
                <w:szCs w:val="18"/>
              </w:rPr>
              <w:t>编号</w:t>
            </w:r>
          </w:p>
        </w:tc>
        <w:tc>
          <w:tcPr>
            <w:tcW w:w="493" w:type="dxa"/>
            <w:vMerge w:val="restart"/>
            <w:tcBorders>
              <w:top w:val="single" w:color="000000" w:sz="8" w:space="0"/>
            </w:tcBorders>
            <w:shd w:val="clear" w:color="auto" w:fill="auto"/>
            <w:noWrap/>
            <w:tcMar>
              <w:top w:w="10" w:type="dxa"/>
              <w:left w:w="10" w:type="dxa"/>
              <w:right w:w="10" w:type="dxa"/>
            </w:tcMar>
            <w:vAlign w:val="center"/>
          </w:tcPr>
          <w:p w14:paraId="7E9A0534">
            <w:pPr>
              <w:widowControl/>
              <w:adjustRightInd/>
              <w:spacing w:line="240" w:lineRule="auto"/>
              <w:jc w:val="center"/>
              <w:rPr>
                <w:rFonts w:ascii="宋体" w:hAnsi="宋体" w:cs="宋体"/>
                <w:bCs/>
                <w:sz w:val="18"/>
                <w:szCs w:val="18"/>
              </w:rPr>
            </w:pPr>
            <w:r>
              <w:rPr>
                <w:rFonts w:hint="eastAsia" w:ascii="宋体" w:hAnsi="宋体" w:cs="宋体"/>
                <w:bCs/>
                <w:sz w:val="18"/>
                <w:szCs w:val="18"/>
              </w:rPr>
              <w:t>工程编码</w:t>
            </w:r>
          </w:p>
        </w:tc>
        <w:tc>
          <w:tcPr>
            <w:tcW w:w="493" w:type="dxa"/>
            <w:vMerge w:val="restart"/>
            <w:tcBorders>
              <w:top w:val="single" w:color="000000" w:sz="8" w:space="0"/>
            </w:tcBorders>
            <w:shd w:val="clear" w:color="auto" w:fill="auto"/>
            <w:noWrap/>
            <w:tcMar>
              <w:top w:w="10" w:type="dxa"/>
              <w:left w:w="10" w:type="dxa"/>
              <w:right w:w="10" w:type="dxa"/>
            </w:tcMar>
            <w:vAlign w:val="center"/>
          </w:tcPr>
          <w:p w14:paraId="483FC750">
            <w:pPr>
              <w:widowControl/>
              <w:adjustRightInd/>
              <w:spacing w:line="240" w:lineRule="auto"/>
              <w:jc w:val="center"/>
              <w:rPr>
                <w:rFonts w:ascii="宋体" w:hAnsi="宋体" w:cs="宋体"/>
                <w:bCs/>
                <w:sz w:val="18"/>
                <w:szCs w:val="18"/>
              </w:rPr>
            </w:pPr>
            <w:r>
              <w:rPr>
                <w:rFonts w:hint="eastAsia" w:ascii="宋体" w:hAnsi="宋体" w:cs="宋体"/>
                <w:bCs/>
                <w:sz w:val="18"/>
                <w:szCs w:val="18"/>
              </w:rPr>
              <w:t>工程类型</w:t>
            </w:r>
          </w:p>
        </w:tc>
        <w:tc>
          <w:tcPr>
            <w:tcW w:w="797" w:type="dxa"/>
            <w:gridSpan w:val="2"/>
            <w:tcBorders>
              <w:top w:val="single" w:color="000000" w:sz="8" w:space="0"/>
              <w:right w:val="single" w:color="auto" w:sz="4" w:space="0"/>
            </w:tcBorders>
            <w:shd w:val="clear" w:color="auto" w:fill="auto"/>
            <w:noWrap/>
            <w:tcMar>
              <w:top w:w="10" w:type="dxa"/>
              <w:left w:w="10" w:type="dxa"/>
              <w:right w:w="10" w:type="dxa"/>
            </w:tcMar>
            <w:vAlign w:val="center"/>
          </w:tcPr>
          <w:p w14:paraId="30BD22E7">
            <w:pPr>
              <w:widowControl/>
              <w:adjustRightInd/>
              <w:spacing w:line="240" w:lineRule="auto"/>
              <w:jc w:val="center"/>
              <w:rPr>
                <w:rFonts w:ascii="宋体" w:hAnsi="宋体" w:cs="宋体"/>
                <w:bCs/>
                <w:sz w:val="18"/>
                <w:szCs w:val="18"/>
              </w:rPr>
            </w:pPr>
            <w:r>
              <w:rPr>
                <w:rFonts w:hint="eastAsia" w:ascii="宋体" w:hAnsi="宋体" w:cs="宋体"/>
                <w:bCs/>
                <w:sz w:val="18"/>
                <w:szCs w:val="18"/>
              </w:rPr>
              <w:t>渠底高程</w:t>
            </w:r>
          </w:p>
        </w:tc>
        <w:tc>
          <w:tcPr>
            <w:tcW w:w="1421" w:type="dxa"/>
            <w:gridSpan w:val="3"/>
            <w:tcBorders>
              <w:top w:val="single" w:color="000000" w:sz="8" w:space="0"/>
            </w:tcBorders>
            <w:shd w:val="clear" w:color="auto" w:fill="auto"/>
            <w:tcMar>
              <w:top w:w="10" w:type="dxa"/>
              <w:left w:w="10" w:type="dxa"/>
              <w:right w:w="10" w:type="dxa"/>
            </w:tcMar>
            <w:vAlign w:val="center"/>
          </w:tcPr>
          <w:p w14:paraId="00ADF42C">
            <w:pPr>
              <w:widowControl/>
              <w:adjustRightInd/>
              <w:spacing w:line="240" w:lineRule="auto"/>
              <w:jc w:val="center"/>
              <w:rPr>
                <w:rFonts w:ascii="宋体" w:hAnsi="宋体" w:cs="宋体"/>
                <w:bCs/>
                <w:sz w:val="18"/>
                <w:szCs w:val="18"/>
              </w:rPr>
            </w:pPr>
            <w:r>
              <w:rPr>
                <w:rFonts w:hint="eastAsia" w:ascii="宋体" w:hAnsi="宋体" w:cs="宋体"/>
                <w:bCs/>
                <w:sz w:val="18"/>
                <w:szCs w:val="18"/>
              </w:rPr>
              <w:t>机组扬程</w:t>
            </w:r>
          </w:p>
        </w:tc>
        <w:tc>
          <w:tcPr>
            <w:tcW w:w="896" w:type="dxa"/>
            <w:gridSpan w:val="2"/>
            <w:tcBorders>
              <w:top w:val="single" w:color="000000" w:sz="8" w:space="0"/>
            </w:tcBorders>
            <w:shd w:val="clear" w:color="auto" w:fill="auto"/>
            <w:tcMar>
              <w:top w:w="10" w:type="dxa"/>
              <w:left w:w="10" w:type="dxa"/>
              <w:right w:w="10" w:type="dxa"/>
            </w:tcMar>
            <w:vAlign w:val="center"/>
          </w:tcPr>
          <w:p w14:paraId="6A7E994D">
            <w:pPr>
              <w:widowControl/>
              <w:adjustRightInd/>
              <w:spacing w:line="240" w:lineRule="auto"/>
              <w:jc w:val="center"/>
              <w:rPr>
                <w:rFonts w:ascii="宋体" w:hAnsi="宋体" w:cs="宋体"/>
                <w:bCs/>
                <w:sz w:val="18"/>
                <w:szCs w:val="18"/>
              </w:rPr>
            </w:pPr>
            <w:r>
              <w:rPr>
                <w:rFonts w:hint="eastAsia" w:ascii="宋体" w:hAnsi="宋体" w:cs="宋体"/>
                <w:bCs/>
                <w:sz w:val="18"/>
                <w:szCs w:val="18"/>
              </w:rPr>
              <w:t>设计水位</w:t>
            </w:r>
          </w:p>
        </w:tc>
        <w:tc>
          <w:tcPr>
            <w:tcW w:w="854" w:type="dxa"/>
            <w:gridSpan w:val="2"/>
            <w:tcBorders>
              <w:top w:val="single" w:color="000000" w:sz="8" w:space="0"/>
            </w:tcBorders>
            <w:shd w:val="clear" w:color="auto" w:fill="auto"/>
            <w:noWrap/>
            <w:tcMar>
              <w:top w:w="10" w:type="dxa"/>
              <w:left w:w="10" w:type="dxa"/>
              <w:right w:w="10" w:type="dxa"/>
            </w:tcMar>
            <w:vAlign w:val="center"/>
          </w:tcPr>
          <w:p w14:paraId="13A3E45D">
            <w:pPr>
              <w:widowControl/>
              <w:adjustRightInd/>
              <w:spacing w:line="240" w:lineRule="auto"/>
              <w:jc w:val="center"/>
              <w:rPr>
                <w:rFonts w:ascii="宋体" w:hAnsi="宋体" w:cs="宋体"/>
                <w:bCs/>
                <w:sz w:val="18"/>
                <w:szCs w:val="18"/>
              </w:rPr>
            </w:pPr>
            <w:r>
              <w:rPr>
                <w:rFonts w:hint="eastAsia" w:ascii="宋体" w:hAnsi="宋体" w:cs="宋体"/>
                <w:bCs/>
                <w:sz w:val="18"/>
                <w:szCs w:val="18"/>
              </w:rPr>
              <w:t>加大设计水位</w:t>
            </w:r>
          </w:p>
        </w:tc>
        <w:tc>
          <w:tcPr>
            <w:tcW w:w="895" w:type="dxa"/>
            <w:gridSpan w:val="2"/>
            <w:tcBorders>
              <w:top w:val="single" w:color="000000" w:sz="8" w:space="0"/>
            </w:tcBorders>
            <w:shd w:val="clear" w:color="auto" w:fill="auto"/>
            <w:noWrap/>
            <w:tcMar>
              <w:top w:w="10" w:type="dxa"/>
              <w:left w:w="10" w:type="dxa"/>
              <w:right w:w="10" w:type="dxa"/>
            </w:tcMar>
            <w:vAlign w:val="center"/>
          </w:tcPr>
          <w:p w14:paraId="48161906">
            <w:pPr>
              <w:widowControl/>
              <w:adjustRightInd/>
              <w:spacing w:line="240" w:lineRule="auto"/>
              <w:jc w:val="center"/>
              <w:rPr>
                <w:rFonts w:ascii="宋体" w:hAnsi="宋体" w:cs="宋体"/>
                <w:bCs/>
                <w:sz w:val="18"/>
                <w:szCs w:val="18"/>
              </w:rPr>
            </w:pPr>
            <w:r>
              <w:rPr>
                <w:rFonts w:hint="eastAsia" w:ascii="宋体" w:hAnsi="宋体" w:cs="宋体"/>
                <w:bCs/>
                <w:sz w:val="18"/>
                <w:szCs w:val="18"/>
              </w:rPr>
              <w:t>最低水位</w:t>
            </w:r>
          </w:p>
        </w:tc>
        <w:tc>
          <w:tcPr>
            <w:tcW w:w="1036" w:type="dxa"/>
            <w:gridSpan w:val="2"/>
            <w:tcBorders>
              <w:top w:val="single" w:color="000000" w:sz="8" w:space="0"/>
            </w:tcBorders>
            <w:shd w:val="clear" w:color="auto" w:fill="auto"/>
            <w:noWrap/>
            <w:tcMar>
              <w:top w:w="10" w:type="dxa"/>
              <w:left w:w="10" w:type="dxa"/>
              <w:right w:w="10" w:type="dxa"/>
            </w:tcMar>
            <w:vAlign w:val="center"/>
          </w:tcPr>
          <w:p w14:paraId="7186BD62">
            <w:pPr>
              <w:widowControl/>
              <w:adjustRightInd/>
              <w:spacing w:line="240" w:lineRule="auto"/>
              <w:jc w:val="center"/>
              <w:rPr>
                <w:rFonts w:ascii="宋体" w:hAnsi="宋体" w:cs="宋体"/>
                <w:bCs/>
                <w:sz w:val="18"/>
                <w:szCs w:val="18"/>
              </w:rPr>
            </w:pPr>
            <w:r>
              <w:rPr>
                <w:rFonts w:hint="eastAsia" w:ascii="宋体" w:hAnsi="宋体" w:cs="宋体"/>
                <w:bCs/>
                <w:sz w:val="18"/>
                <w:szCs w:val="18"/>
              </w:rPr>
              <w:t>设计流量</w:t>
            </w:r>
          </w:p>
        </w:tc>
        <w:tc>
          <w:tcPr>
            <w:tcW w:w="462" w:type="dxa"/>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68505E98">
            <w:pPr>
              <w:widowControl/>
              <w:adjustRightInd/>
              <w:spacing w:line="240" w:lineRule="auto"/>
              <w:jc w:val="center"/>
              <w:rPr>
                <w:rFonts w:ascii="宋体" w:hAnsi="宋体" w:cs="宋体"/>
                <w:bCs/>
                <w:sz w:val="18"/>
                <w:szCs w:val="18"/>
              </w:rPr>
            </w:pPr>
            <w:r>
              <w:rPr>
                <w:rFonts w:hint="eastAsia" w:ascii="宋体" w:hAnsi="宋体" w:cs="宋体"/>
                <w:bCs/>
                <w:sz w:val="18"/>
                <w:szCs w:val="18"/>
              </w:rPr>
              <w:t>机组类型</w:t>
            </w:r>
          </w:p>
        </w:tc>
        <w:tc>
          <w:tcPr>
            <w:tcW w:w="518" w:type="dxa"/>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05D370CA">
            <w:pPr>
              <w:widowControl/>
              <w:adjustRightInd/>
              <w:spacing w:line="240" w:lineRule="auto"/>
              <w:jc w:val="center"/>
              <w:rPr>
                <w:rFonts w:ascii="宋体" w:hAnsi="宋体" w:cs="宋体"/>
                <w:bCs/>
                <w:sz w:val="18"/>
                <w:szCs w:val="18"/>
              </w:rPr>
            </w:pPr>
            <w:r>
              <w:rPr>
                <w:rFonts w:hint="eastAsia" w:ascii="宋体" w:hAnsi="宋体" w:cs="宋体"/>
                <w:bCs/>
                <w:sz w:val="18"/>
                <w:szCs w:val="18"/>
              </w:rPr>
              <w:t>机组数量</w:t>
            </w:r>
          </w:p>
        </w:tc>
        <w:tc>
          <w:tcPr>
            <w:tcW w:w="574" w:type="dxa"/>
            <w:vMerge w:val="restart"/>
            <w:tcBorders>
              <w:top w:val="single" w:color="000000" w:sz="8" w:space="0"/>
              <w:bottom w:val="single" w:color="auto" w:sz="8" w:space="0"/>
            </w:tcBorders>
            <w:shd w:val="clear" w:color="auto" w:fill="auto"/>
            <w:noWrap/>
            <w:tcMar>
              <w:top w:w="10" w:type="dxa"/>
              <w:left w:w="10" w:type="dxa"/>
              <w:right w:w="10" w:type="dxa"/>
            </w:tcMar>
            <w:vAlign w:val="center"/>
          </w:tcPr>
          <w:p w14:paraId="4DC1B358">
            <w:pPr>
              <w:widowControl/>
              <w:adjustRightInd/>
              <w:spacing w:line="240" w:lineRule="auto"/>
              <w:jc w:val="center"/>
              <w:rPr>
                <w:rFonts w:ascii="宋体" w:hAnsi="宋体" w:cs="宋体"/>
                <w:bCs/>
                <w:sz w:val="18"/>
                <w:szCs w:val="18"/>
              </w:rPr>
            </w:pPr>
            <w:r>
              <w:rPr>
                <w:rFonts w:hint="eastAsia" w:ascii="宋体" w:hAnsi="宋体" w:cs="宋体"/>
                <w:bCs/>
                <w:sz w:val="18"/>
                <w:szCs w:val="18"/>
              </w:rPr>
              <w:t>设计洪水水位</w:t>
            </w:r>
          </w:p>
          <w:p w14:paraId="1838594D">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83" w:type="dxa"/>
            <w:vMerge w:val="restart"/>
            <w:tcBorders>
              <w:top w:val="single" w:color="000000" w:sz="8" w:space="0"/>
              <w:bottom w:val="single" w:color="auto" w:sz="8" w:space="0"/>
              <w:right w:val="single" w:color="000000" w:sz="8" w:space="0"/>
            </w:tcBorders>
            <w:shd w:val="clear" w:color="auto" w:fill="auto"/>
            <w:noWrap/>
            <w:tcMar>
              <w:top w:w="10" w:type="dxa"/>
              <w:left w:w="10" w:type="dxa"/>
              <w:right w:w="10" w:type="dxa"/>
            </w:tcMar>
            <w:vAlign w:val="center"/>
          </w:tcPr>
          <w:p w14:paraId="48CA7430">
            <w:pPr>
              <w:widowControl/>
              <w:adjustRightInd/>
              <w:spacing w:line="240" w:lineRule="auto"/>
              <w:jc w:val="center"/>
              <w:rPr>
                <w:rFonts w:ascii="宋体" w:hAnsi="宋体" w:cs="宋体"/>
                <w:bCs/>
                <w:sz w:val="18"/>
                <w:szCs w:val="18"/>
              </w:rPr>
            </w:pPr>
            <w:r>
              <w:rPr>
                <w:rFonts w:hint="eastAsia" w:ascii="宋体" w:hAnsi="宋体" w:cs="宋体"/>
                <w:bCs/>
                <w:sz w:val="18"/>
                <w:szCs w:val="18"/>
              </w:rPr>
              <w:t>备注</w:t>
            </w:r>
          </w:p>
        </w:tc>
      </w:tr>
      <w:tr w14:paraId="548DAB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441" w:type="dxa"/>
            <w:vMerge w:val="continue"/>
            <w:tcBorders>
              <w:left w:val="single" w:color="000000" w:sz="8" w:space="0"/>
              <w:bottom w:val="single" w:color="auto" w:sz="8" w:space="0"/>
            </w:tcBorders>
            <w:shd w:val="clear" w:color="auto" w:fill="auto"/>
            <w:noWrap/>
            <w:tcMar>
              <w:top w:w="10" w:type="dxa"/>
              <w:left w:w="10" w:type="dxa"/>
              <w:right w:w="10" w:type="dxa"/>
            </w:tcMar>
            <w:vAlign w:val="center"/>
          </w:tcPr>
          <w:p w14:paraId="3789D87C">
            <w:pPr>
              <w:widowControl/>
              <w:adjustRightInd/>
              <w:spacing w:line="240" w:lineRule="auto"/>
              <w:jc w:val="center"/>
              <w:rPr>
                <w:rFonts w:ascii="宋体" w:hAnsi="宋体" w:cs="宋体"/>
                <w:bCs/>
                <w:sz w:val="18"/>
                <w:szCs w:val="18"/>
              </w:rPr>
            </w:pPr>
          </w:p>
        </w:tc>
        <w:tc>
          <w:tcPr>
            <w:tcW w:w="493" w:type="dxa"/>
            <w:vMerge w:val="continue"/>
            <w:tcBorders>
              <w:bottom w:val="single" w:color="auto" w:sz="8" w:space="0"/>
            </w:tcBorders>
            <w:shd w:val="clear" w:color="auto" w:fill="auto"/>
            <w:noWrap/>
            <w:tcMar>
              <w:top w:w="10" w:type="dxa"/>
              <w:left w:w="10" w:type="dxa"/>
              <w:right w:w="10" w:type="dxa"/>
            </w:tcMar>
            <w:vAlign w:val="center"/>
          </w:tcPr>
          <w:p w14:paraId="64A0C4F8">
            <w:pPr>
              <w:widowControl/>
              <w:adjustRightInd/>
              <w:spacing w:line="240" w:lineRule="auto"/>
              <w:jc w:val="center"/>
              <w:rPr>
                <w:rFonts w:ascii="宋体" w:hAnsi="宋体" w:cs="宋体"/>
                <w:bCs/>
                <w:sz w:val="18"/>
                <w:szCs w:val="18"/>
              </w:rPr>
            </w:pPr>
          </w:p>
        </w:tc>
        <w:tc>
          <w:tcPr>
            <w:tcW w:w="493" w:type="dxa"/>
            <w:vMerge w:val="continue"/>
            <w:tcBorders>
              <w:bottom w:val="single" w:color="auto" w:sz="8" w:space="0"/>
            </w:tcBorders>
            <w:shd w:val="clear" w:color="auto" w:fill="auto"/>
            <w:noWrap/>
            <w:tcMar>
              <w:top w:w="10" w:type="dxa"/>
              <w:left w:w="10" w:type="dxa"/>
              <w:right w:w="10" w:type="dxa"/>
            </w:tcMar>
            <w:vAlign w:val="center"/>
          </w:tcPr>
          <w:p w14:paraId="05ECD225">
            <w:pPr>
              <w:widowControl/>
              <w:adjustRightInd/>
              <w:spacing w:line="240" w:lineRule="auto"/>
              <w:jc w:val="center"/>
              <w:rPr>
                <w:rFonts w:ascii="宋体" w:hAnsi="宋体" w:cs="宋体"/>
                <w:bCs/>
                <w:sz w:val="18"/>
                <w:szCs w:val="18"/>
              </w:rPr>
            </w:pPr>
          </w:p>
        </w:tc>
        <w:tc>
          <w:tcPr>
            <w:tcW w:w="433" w:type="dxa"/>
            <w:tcBorders>
              <w:bottom w:val="single" w:color="auto" w:sz="8" w:space="0"/>
              <w:right w:val="single" w:color="auto" w:sz="4" w:space="0"/>
            </w:tcBorders>
            <w:shd w:val="clear" w:color="auto" w:fill="auto"/>
            <w:noWrap/>
            <w:tcMar>
              <w:top w:w="10" w:type="dxa"/>
              <w:left w:w="10" w:type="dxa"/>
              <w:right w:w="10" w:type="dxa"/>
            </w:tcMar>
            <w:vAlign w:val="center"/>
          </w:tcPr>
          <w:p w14:paraId="1708BB35">
            <w:pPr>
              <w:widowControl/>
              <w:adjustRightInd/>
              <w:spacing w:line="240" w:lineRule="auto"/>
              <w:jc w:val="center"/>
              <w:rPr>
                <w:rFonts w:ascii="宋体" w:hAnsi="宋体" w:cs="宋体"/>
                <w:bCs/>
                <w:sz w:val="18"/>
                <w:szCs w:val="18"/>
              </w:rPr>
            </w:pPr>
            <w:r>
              <w:rPr>
                <w:rFonts w:hint="eastAsia" w:ascii="宋体" w:hAnsi="宋体" w:cs="宋体"/>
                <w:bCs/>
                <w:sz w:val="18"/>
                <w:szCs w:val="18"/>
              </w:rPr>
              <w:t>前</w:t>
            </w:r>
          </w:p>
          <w:p w14:paraId="0B1E58D0">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364" w:type="dxa"/>
            <w:tcBorders>
              <w:bottom w:val="single" w:color="auto" w:sz="8" w:space="0"/>
              <w:right w:val="single" w:color="auto" w:sz="4" w:space="0"/>
            </w:tcBorders>
            <w:shd w:val="clear" w:color="auto" w:fill="auto"/>
            <w:noWrap/>
            <w:tcMar>
              <w:top w:w="10" w:type="dxa"/>
              <w:left w:w="10" w:type="dxa"/>
              <w:right w:w="10" w:type="dxa"/>
            </w:tcMar>
            <w:vAlign w:val="center"/>
          </w:tcPr>
          <w:p w14:paraId="6056036E">
            <w:pPr>
              <w:widowControl/>
              <w:adjustRightInd/>
              <w:spacing w:line="240" w:lineRule="auto"/>
              <w:jc w:val="center"/>
              <w:rPr>
                <w:rFonts w:ascii="宋体" w:hAnsi="宋体" w:cs="宋体"/>
                <w:bCs/>
                <w:sz w:val="18"/>
                <w:szCs w:val="18"/>
              </w:rPr>
            </w:pPr>
            <w:r>
              <w:rPr>
                <w:rFonts w:hint="eastAsia" w:ascii="宋体" w:hAnsi="宋体" w:cs="宋体"/>
                <w:bCs/>
                <w:sz w:val="18"/>
                <w:szCs w:val="18"/>
              </w:rPr>
              <w:t>后</w:t>
            </w:r>
          </w:p>
          <w:p w14:paraId="5589EE5E">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20" w:type="dxa"/>
            <w:tcBorders>
              <w:bottom w:val="single" w:color="auto" w:sz="8" w:space="0"/>
            </w:tcBorders>
            <w:shd w:val="clear" w:color="auto" w:fill="auto"/>
            <w:tcMar>
              <w:top w:w="10" w:type="dxa"/>
              <w:left w:w="10" w:type="dxa"/>
              <w:right w:w="10" w:type="dxa"/>
            </w:tcMar>
            <w:vAlign w:val="center"/>
          </w:tcPr>
          <w:p w14:paraId="3D2F5407">
            <w:pPr>
              <w:widowControl/>
              <w:adjustRightInd/>
              <w:spacing w:line="240" w:lineRule="auto"/>
              <w:jc w:val="center"/>
              <w:rPr>
                <w:rFonts w:ascii="宋体" w:hAnsi="宋体" w:cs="宋体"/>
                <w:bCs/>
                <w:sz w:val="18"/>
                <w:szCs w:val="18"/>
              </w:rPr>
            </w:pPr>
            <w:r>
              <w:rPr>
                <w:rFonts w:hint="eastAsia" w:ascii="宋体" w:hAnsi="宋体" w:cs="宋体"/>
                <w:bCs/>
                <w:sz w:val="18"/>
                <w:szCs w:val="18"/>
              </w:rPr>
              <w:t>小</w:t>
            </w:r>
          </w:p>
          <w:p w14:paraId="0D5DF049">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539" w:type="dxa"/>
            <w:tcBorders>
              <w:bottom w:val="single" w:color="auto" w:sz="8" w:space="0"/>
            </w:tcBorders>
            <w:shd w:val="clear" w:color="auto" w:fill="auto"/>
            <w:tcMar>
              <w:top w:w="10" w:type="dxa"/>
              <w:left w:w="10" w:type="dxa"/>
              <w:right w:w="10" w:type="dxa"/>
            </w:tcMar>
            <w:vAlign w:val="center"/>
          </w:tcPr>
          <w:p w14:paraId="2DEA484F">
            <w:pPr>
              <w:widowControl/>
              <w:adjustRightInd/>
              <w:spacing w:line="240" w:lineRule="auto"/>
              <w:jc w:val="center"/>
              <w:rPr>
                <w:rFonts w:ascii="宋体" w:hAnsi="宋体" w:cs="宋体"/>
                <w:bCs/>
                <w:sz w:val="18"/>
                <w:szCs w:val="18"/>
              </w:rPr>
            </w:pPr>
            <w:r>
              <w:rPr>
                <w:rFonts w:hint="eastAsia" w:ascii="宋体" w:hAnsi="宋体" w:cs="宋体"/>
                <w:bCs/>
                <w:sz w:val="18"/>
                <w:szCs w:val="18"/>
              </w:rPr>
              <w:t>设计</w:t>
            </w:r>
          </w:p>
          <w:p w14:paraId="03D1415C">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62" w:type="dxa"/>
            <w:tcBorders>
              <w:bottom w:val="single" w:color="auto" w:sz="8" w:space="0"/>
            </w:tcBorders>
            <w:shd w:val="clear" w:color="auto" w:fill="auto"/>
            <w:tcMar>
              <w:top w:w="10" w:type="dxa"/>
              <w:left w:w="10" w:type="dxa"/>
              <w:right w:w="10" w:type="dxa"/>
            </w:tcMar>
            <w:vAlign w:val="center"/>
          </w:tcPr>
          <w:p w14:paraId="28A22D7C">
            <w:pPr>
              <w:widowControl/>
              <w:adjustRightInd/>
              <w:spacing w:line="240" w:lineRule="auto"/>
              <w:jc w:val="center"/>
              <w:rPr>
                <w:rFonts w:ascii="宋体" w:hAnsi="宋体" w:cs="宋体"/>
                <w:bCs/>
                <w:sz w:val="18"/>
                <w:szCs w:val="18"/>
              </w:rPr>
            </w:pPr>
            <w:r>
              <w:rPr>
                <w:rFonts w:hint="eastAsia" w:ascii="宋体" w:hAnsi="宋体" w:cs="宋体"/>
                <w:bCs/>
                <w:sz w:val="18"/>
                <w:szCs w:val="18"/>
              </w:rPr>
              <w:t>大</w:t>
            </w:r>
          </w:p>
          <w:p w14:paraId="64A601DC">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62" w:type="dxa"/>
            <w:tcBorders>
              <w:bottom w:val="single" w:color="auto" w:sz="8" w:space="0"/>
            </w:tcBorders>
            <w:shd w:val="clear" w:color="auto" w:fill="auto"/>
            <w:tcMar>
              <w:top w:w="10" w:type="dxa"/>
              <w:left w:w="10" w:type="dxa"/>
              <w:right w:w="10" w:type="dxa"/>
            </w:tcMar>
            <w:vAlign w:val="center"/>
          </w:tcPr>
          <w:p w14:paraId="5B283D49">
            <w:pPr>
              <w:widowControl/>
              <w:adjustRightInd/>
              <w:spacing w:line="240" w:lineRule="auto"/>
              <w:jc w:val="center"/>
              <w:rPr>
                <w:rFonts w:ascii="宋体" w:hAnsi="宋体" w:cs="宋体"/>
                <w:bCs/>
                <w:sz w:val="18"/>
                <w:szCs w:val="18"/>
              </w:rPr>
            </w:pPr>
            <w:r>
              <w:rPr>
                <w:rFonts w:hint="eastAsia" w:ascii="宋体" w:hAnsi="宋体" w:cs="宋体"/>
                <w:bCs/>
                <w:sz w:val="18"/>
                <w:szCs w:val="18"/>
              </w:rPr>
              <w:t>前</w:t>
            </w:r>
          </w:p>
          <w:p w14:paraId="6E0DEFFE">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34" w:type="dxa"/>
            <w:tcBorders>
              <w:bottom w:val="single" w:color="auto" w:sz="8" w:space="0"/>
            </w:tcBorders>
            <w:shd w:val="clear" w:color="auto" w:fill="auto"/>
            <w:tcMar>
              <w:top w:w="10" w:type="dxa"/>
              <w:left w:w="10" w:type="dxa"/>
              <w:right w:w="10" w:type="dxa"/>
            </w:tcMar>
            <w:vAlign w:val="center"/>
          </w:tcPr>
          <w:p w14:paraId="7604BBF2">
            <w:pPr>
              <w:widowControl/>
              <w:adjustRightInd/>
              <w:spacing w:line="240" w:lineRule="auto"/>
              <w:jc w:val="center"/>
              <w:rPr>
                <w:rFonts w:ascii="宋体" w:hAnsi="宋体" w:cs="宋体"/>
                <w:bCs/>
                <w:sz w:val="18"/>
                <w:szCs w:val="18"/>
              </w:rPr>
            </w:pPr>
            <w:r>
              <w:rPr>
                <w:rFonts w:hint="eastAsia" w:ascii="宋体" w:hAnsi="宋体" w:cs="宋体"/>
                <w:bCs/>
                <w:sz w:val="18"/>
                <w:szCs w:val="18"/>
              </w:rPr>
              <w:t>后</w:t>
            </w:r>
          </w:p>
          <w:p w14:paraId="4A4AF8F5">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06" w:type="dxa"/>
            <w:tcBorders>
              <w:bottom w:val="single" w:color="auto" w:sz="8" w:space="0"/>
            </w:tcBorders>
            <w:shd w:val="clear" w:color="auto" w:fill="auto"/>
            <w:noWrap/>
            <w:tcMar>
              <w:top w:w="10" w:type="dxa"/>
              <w:left w:w="10" w:type="dxa"/>
              <w:right w:w="10" w:type="dxa"/>
            </w:tcMar>
            <w:vAlign w:val="center"/>
          </w:tcPr>
          <w:p w14:paraId="0AE9AB91">
            <w:pPr>
              <w:widowControl/>
              <w:adjustRightInd/>
              <w:spacing w:line="240" w:lineRule="auto"/>
              <w:jc w:val="center"/>
              <w:rPr>
                <w:rFonts w:ascii="宋体" w:hAnsi="宋体" w:cs="宋体"/>
                <w:bCs/>
                <w:sz w:val="18"/>
                <w:szCs w:val="18"/>
              </w:rPr>
            </w:pPr>
            <w:r>
              <w:rPr>
                <w:rFonts w:hint="eastAsia" w:ascii="宋体" w:hAnsi="宋体" w:cs="宋体"/>
                <w:bCs/>
                <w:sz w:val="18"/>
                <w:szCs w:val="18"/>
              </w:rPr>
              <w:t>前</w:t>
            </w:r>
          </w:p>
          <w:p w14:paraId="75ED7CE0">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48" w:type="dxa"/>
            <w:tcBorders>
              <w:bottom w:val="single" w:color="auto" w:sz="8" w:space="0"/>
            </w:tcBorders>
            <w:shd w:val="clear" w:color="auto" w:fill="auto"/>
            <w:noWrap/>
            <w:tcMar>
              <w:top w:w="10" w:type="dxa"/>
              <w:left w:w="10" w:type="dxa"/>
              <w:right w:w="10" w:type="dxa"/>
            </w:tcMar>
            <w:vAlign w:val="center"/>
          </w:tcPr>
          <w:p w14:paraId="56F7B525">
            <w:pPr>
              <w:widowControl/>
              <w:adjustRightInd/>
              <w:spacing w:line="240" w:lineRule="auto"/>
              <w:jc w:val="center"/>
              <w:rPr>
                <w:rFonts w:ascii="宋体" w:hAnsi="宋体" w:cs="宋体"/>
                <w:bCs/>
                <w:sz w:val="18"/>
                <w:szCs w:val="18"/>
              </w:rPr>
            </w:pPr>
            <w:r>
              <w:rPr>
                <w:rFonts w:hint="eastAsia" w:ascii="宋体" w:hAnsi="宋体" w:cs="宋体"/>
                <w:bCs/>
                <w:sz w:val="18"/>
                <w:szCs w:val="18"/>
              </w:rPr>
              <w:t>后</w:t>
            </w:r>
          </w:p>
          <w:p w14:paraId="44C539F1">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75" w:type="dxa"/>
            <w:tcBorders>
              <w:bottom w:val="single" w:color="auto" w:sz="8" w:space="0"/>
            </w:tcBorders>
            <w:shd w:val="clear" w:color="auto" w:fill="auto"/>
            <w:noWrap/>
            <w:tcMar>
              <w:top w:w="10" w:type="dxa"/>
              <w:left w:w="10" w:type="dxa"/>
              <w:right w:w="10" w:type="dxa"/>
            </w:tcMar>
            <w:vAlign w:val="center"/>
          </w:tcPr>
          <w:p w14:paraId="0264446A">
            <w:pPr>
              <w:widowControl/>
              <w:adjustRightInd/>
              <w:spacing w:line="240" w:lineRule="auto"/>
              <w:jc w:val="center"/>
              <w:rPr>
                <w:rFonts w:ascii="宋体" w:hAnsi="宋体" w:cs="宋体"/>
                <w:bCs/>
                <w:sz w:val="18"/>
                <w:szCs w:val="18"/>
              </w:rPr>
            </w:pPr>
            <w:r>
              <w:rPr>
                <w:rFonts w:hint="eastAsia" w:ascii="宋体" w:hAnsi="宋体" w:cs="宋体"/>
                <w:bCs/>
                <w:sz w:val="18"/>
                <w:szCs w:val="18"/>
              </w:rPr>
              <w:t>小</w:t>
            </w:r>
          </w:p>
          <w:p w14:paraId="09E7C49F">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420" w:type="dxa"/>
            <w:tcBorders>
              <w:bottom w:val="single" w:color="auto" w:sz="8" w:space="0"/>
            </w:tcBorders>
            <w:shd w:val="clear" w:color="auto" w:fill="auto"/>
            <w:noWrap/>
            <w:tcMar>
              <w:top w:w="10" w:type="dxa"/>
              <w:left w:w="10" w:type="dxa"/>
              <w:right w:w="10" w:type="dxa"/>
            </w:tcMar>
            <w:vAlign w:val="center"/>
          </w:tcPr>
          <w:p w14:paraId="6A7BA48A">
            <w:pPr>
              <w:widowControl/>
              <w:adjustRightInd/>
              <w:spacing w:line="240" w:lineRule="auto"/>
              <w:jc w:val="center"/>
              <w:rPr>
                <w:rFonts w:ascii="宋体" w:hAnsi="宋体" w:cs="宋体"/>
                <w:bCs/>
                <w:sz w:val="18"/>
                <w:szCs w:val="18"/>
              </w:rPr>
            </w:pPr>
            <w:r>
              <w:rPr>
                <w:rFonts w:hint="eastAsia" w:ascii="宋体" w:hAnsi="宋体" w:cs="宋体"/>
                <w:bCs/>
                <w:sz w:val="18"/>
                <w:szCs w:val="18"/>
              </w:rPr>
              <w:t>大</w:t>
            </w:r>
          </w:p>
          <w:p w14:paraId="4800C745">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p>
        </w:tc>
        <w:tc>
          <w:tcPr>
            <w:tcW w:w="518" w:type="dxa"/>
            <w:tcBorders>
              <w:bottom w:val="single" w:color="auto" w:sz="8" w:space="0"/>
            </w:tcBorders>
            <w:shd w:val="clear" w:color="auto" w:fill="auto"/>
            <w:noWrap/>
            <w:tcMar>
              <w:top w:w="10" w:type="dxa"/>
              <w:left w:w="10" w:type="dxa"/>
              <w:right w:w="10" w:type="dxa"/>
            </w:tcMar>
            <w:vAlign w:val="center"/>
          </w:tcPr>
          <w:p w14:paraId="05444D8D">
            <w:pPr>
              <w:widowControl/>
              <w:adjustRightInd/>
              <w:spacing w:line="240" w:lineRule="auto"/>
              <w:jc w:val="center"/>
              <w:rPr>
                <w:rFonts w:ascii="宋体" w:hAnsi="宋体" w:cs="宋体"/>
                <w:bCs/>
                <w:sz w:val="18"/>
                <w:szCs w:val="18"/>
              </w:rPr>
            </w:pPr>
            <w:r>
              <w:rPr>
                <w:rFonts w:hint="eastAsia" w:ascii="宋体" w:hAnsi="宋体" w:cs="宋体"/>
                <w:bCs/>
                <w:sz w:val="18"/>
                <w:szCs w:val="18"/>
              </w:rPr>
              <w:t>小</w:t>
            </w:r>
          </w:p>
          <w:p w14:paraId="7BA29935">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r>
              <w:rPr>
                <w:rFonts w:hint="eastAsia" w:ascii="宋体" w:hAnsi="宋体" w:cs="宋体"/>
                <w:bCs/>
                <w:sz w:val="18"/>
                <w:szCs w:val="18"/>
                <w:vertAlign w:val="superscript"/>
              </w:rPr>
              <w:t>3</w:t>
            </w:r>
            <w:r>
              <w:rPr>
                <w:rFonts w:hint="eastAsia" w:ascii="宋体" w:hAnsi="宋体" w:cs="宋体"/>
                <w:bCs/>
                <w:sz w:val="18"/>
                <w:szCs w:val="18"/>
              </w:rPr>
              <w:t>/s</w:t>
            </w:r>
          </w:p>
        </w:tc>
        <w:tc>
          <w:tcPr>
            <w:tcW w:w="518" w:type="dxa"/>
            <w:tcBorders>
              <w:bottom w:val="single" w:color="auto" w:sz="8" w:space="0"/>
            </w:tcBorders>
            <w:shd w:val="clear" w:color="auto" w:fill="auto"/>
            <w:noWrap/>
            <w:tcMar>
              <w:top w:w="10" w:type="dxa"/>
              <w:left w:w="10" w:type="dxa"/>
              <w:right w:w="10" w:type="dxa"/>
            </w:tcMar>
            <w:vAlign w:val="center"/>
          </w:tcPr>
          <w:p w14:paraId="7DBED225">
            <w:pPr>
              <w:widowControl/>
              <w:adjustRightInd/>
              <w:spacing w:line="240" w:lineRule="auto"/>
              <w:jc w:val="center"/>
              <w:rPr>
                <w:rFonts w:ascii="宋体" w:hAnsi="宋体" w:cs="宋体"/>
                <w:bCs/>
                <w:sz w:val="18"/>
                <w:szCs w:val="18"/>
              </w:rPr>
            </w:pPr>
            <w:r>
              <w:rPr>
                <w:rFonts w:hint="eastAsia" w:ascii="宋体" w:hAnsi="宋体" w:cs="宋体"/>
                <w:bCs/>
                <w:sz w:val="18"/>
                <w:szCs w:val="18"/>
              </w:rPr>
              <w:t>大</w:t>
            </w:r>
          </w:p>
          <w:p w14:paraId="03C1FE2C">
            <w:pPr>
              <w:widowControl/>
              <w:adjustRightInd/>
              <w:spacing w:line="240" w:lineRule="auto"/>
              <w:jc w:val="center"/>
              <w:rPr>
                <w:rFonts w:ascii="宋体" w:hAnsi="宋体" w:cs="宋体"/>
                <w:bCs/>
                <w:sz w:val="18"/>
                <w:szCs w:val="18"/>
              </w:rPr>
            </w:pPr>
            <w:r>
              <w:rPr>
                <w:rFonts w:hint="eastAsia" w:ascii="宋体" w:hAnsi="宋体" w:cs="宋体"/>
                <w:bCs/>
                <w:sz w:val="18"/>
                <w:szCs w:val="18"/>
              </w:rPr>
              <w:t>m</w:t>
            </w:r>
            <w:r>
              <w:rPr>
                <w:rFonts w:hint="eastAsia" w:ascii="宋体" w:hAnsi="宋体" w:cs="宋体"/>
                <w:bCs/>
                <w:sz w:val="18"/>
                <w:szCs w:val="18"/>
                <w:vertAlign w:val="superscript"/>
              </w:rPr>
              <w:t>3</w:t>
            </w:r>
            <w:r>
              <w:rPr>
                <w:rFonts w:hint="eastAsia" w:ascii="宋体" w:hAnsi="宋体" w:cs="宋体"/>
                <w:bCs/>
                <w:sz w:val="18"/>
                <w:szCs w:val="18"/>
              </w:rPr>
              <w:t>/s</w:t>
            </w:r>
          </w:p>
        </w:tc>
        <w:tc>
          <w:tcPr>
            <w:tcW w:w="462" w:type="dxa"/>
            <w:vMerge w:val="continue"/>
            <w:tcBorders>
              <w:bottom w:val="single" w:color="auto" w:sz="8" w:space="0"/>
            </w:tcBorders>
            <w:shd w:val="clear" w:color="auto" w:fill="auto"/>
            <w:noWrap/>
            <w:tcMar>
              <w:top w:w="10" w:type="dxa"/>
              <w:left w:w="10" w:type="dxa"/>
              <w:right w:w="10" w:type="dxa"/>
            </w:tcMar>
            <w:vAlign w:val="center"/>
          </w:tcPr>
          <w:p w14:paraId="0DA57EE5">
            <w:pPr>
              <w:widowControl/>
              <w:adjustRightInd/>
              <w:spacing w:line="240" w:lineRule="auto"/>
              <w:jc w:val="center"/>
              <w:rPr>
                <w:rFonts w:ascii="宋体" w:hAnsi="宋体" w:cs="宋体"/>
                <w:bCs/>
                <w:sz w:val="18"/>
                <w:szCs w:val="18"/>
              </w:rPr>
            </w:pPr>
          </w:p>
        </w:tc>
        <w:tc>
          <w:tcPr>
            <w:tcW w:w="518" w:type="dxa"/>
            <w:vMerge w:val="continue"/>
            <w:tcBorders>
              <w:bottom w:val="single" w:color="auto" w:sz="8" w:space="0"/>
            </w:tcBorders>
            <w:shd w:val="clear" w:color="auto" w:fill="auto"/>
            <w:noWrap/>
            <w:tcMar>
              <w:top w:w="10" w:type="dxa"/>
              <w:left w:w="10" w:type="dxa"/>
              <w:right w:w="10" w:type="dxa"/>
            </w:tcMar>
            <w:vAlign w:val="center"/>
          </w:tcPr>
          <w:p w14:paraId="4F7CBDD4">
            <w:pPr>
              <w:widowControl/>
              <w:adjustRightInd/>
              <w:spacing w:line="240" w:lineRule="auto"/>
              <w:jc w:val="center"/>
              <w:rPr>
                <w:rFonts w:ascii="宋体" w:hAnsi="宋体" w:cs="宋体"/>
                <w:bCs/>
                <w:sz w:val="18"/>
                <w:szCs w:val="18"/>
              </w:rPr>
            </w:pPr>
          </w:p>
        </w:tc>
        <w:tc>
          <w:tcPr>
            <w:tcW w:w="574" w:type="dxa"/>
            <w:vMerge w:val="continue"/>
            <w:tcBorders>
              <w:bottom w:val="single" w:color="auto" w:sz="8" w:space="0"/>
            </w:tcBorders>
            <w:shd w:val="clear" w:color="auto" w:fill="auto"/>
            <w:noWrap/>
            <w:tcMar>
              <w:top w:w="10" w:type="dxa"/>
              <w:left w:w="10" w:type="dxa"/>
              <w:right w:w="10" w:type="dxa"/>
            </w:tcMar>
            <w:vAlign w:val="center"/>
          </w:tcPr>
          <w:p w14:paraId="2E307809">
            <w:pPr>
              <w:widowControl/>
              <w:adjustRightInd/>
              <w:spacing w:line="240" w:lineRule="auto"/>
              <w:jc w:val="center"/>
              <w:rPr>
                <w:rFonts w:ascii="宋体" w:hAnsi="宋体" w:cs="宋体"/>
                <w:bCs/>
                <w:sz w:val="18"/>
                <w:szCs w:val="18"/>
              </w:rPr>
            </w:pPr>
          </w:p>
        </w:tc>
        <w:tc>
          <w:tcPr>
            <w:tcW w:w="483" w:type="dxa"/>
            <w:vMerge w:val="continue"/>
            <w:tcBorders>
              <w:bottom w:val="single" w:color="auto" w:sz="8" w:space="0"/>
              <w:right w:val="single" w:color="000000" w:sz="8" w:space="0"/>
            </w:tcBorders>
            <w:shd w:val="clear" w:color="auto" w:fill="auto"/>
            <w:noWrap/>
            <w:tcMar>
              <w:top w:w="10" w:type="dxa"/>
              <w:left w:w="10" w:type="dxa"/>
              <w:right w:w="10" w:type="dxa"/>
            </w:tcMar>
            <w:vAlign w:val="center"/>
          </w:tcPr>
          <w:p w14:paraId="2BA51B53">
            <w:pPr>
              <w:widowControl/>
              <w:adjustRightInd/>
              <w:spacing w:line="240" w:lineRule="auto"/>
              <w:jc w:val="center"/>
              <w:rPr>
                <w:rFonts w:ascii="宋体" w:hAnsi="宋体" w:cs="宋体"/>
                <w:bCs/>
                <w:sz w:val="18"/>
                <w:szCs w:val="18"/>
              </w:rPr>
            </w:pPr>
          </w:p>
        </w:tc>
      </w:tr>
      <w:tr w14:paraId="4C85C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jc w:val="center"/>
        </w:trPr>
        <w:tc>
          <w:tcPr>
            <w:tcW w:w="441" w:type="dxa"/>
            <w:tcBorders>
              <w:top w:val="single" w:color="auto" w:sz="8" w:space="0"/>
              <w:left w:val="single" w:color="000000" w:sz="8" w:space="0"/>
              <w:bottom w:val="single" w:color="auto" w:sz="8" w:space="0"/>
            </w:tcBorders>
            <w:shd w:val="clear" w:color="auto" w:fill="auto"/>
            <w:noWrap/>
            <w:tcMar>
              <w:top w:w="10" w:type="dxa"/>
              <w:left w:w="10" w:type="dxa"/>
              <w:right w:w="10" w:type="dxa"/>
            </w:tcMar>
            <w:vAlign w:val="center"/>
          </w:tcPr>
          <w:p w14:paraId="19CE10F6">
            <w:pPr>
              <w:widowControl/>
              <w:adjustRightInd/>
              <w:spacing w:line="240" w:lineRule="auto"/>
              <w:jc w:val="center"/>
              <w:rPr>
                <w:rFonts w:ascii="宋体" w:hAnsi="宋体" w:cs="宋体"/>
                <w:bCs/>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64C15668">
            <w:pPr>
              <w:widowControl/>
              <w:adjustRightInd/>
              <w:spacing w:line="240" w:lineRule="auto"/>
              <w:jc w:val="center"/>
              <w:rPr>
                <w:rFonts w:ascii="宋体" w:hAnsi="宋体" w:cs="宋体"/>
                <w:bCs/>
                <w:sz w:val="18"/>
                <w:szCs w:val="18"/>
              </w:rPr>
            </w:pPr>
          </w:p>
        </w:tc>
        <w:tc>
          <w:tcPr>
            <w:tcW w:w="493" w:type="dxa"/>
            <w:tcBorders>
              <w:top w:val="single" w:color="auto" w:sz="8" w:space="0"/>
              <w:bottom w:val="single" w:color="auto" w:sz="8" w:space="0"/>
            </w:tcBorders>
            <w:shd w:val="clear" w:color="auto" w:fill="auto"/>
            <w:noWrap/>
            <w:tcMar>
              <w:top w:w="10" w:type="dxa"/>
              <w:left w:w="10" w:type="dxa"/>
              <w:right w:w="10" w:type="dxa"/>
            </w:tcMar>
            <w:vAlign w:val="center"/>
          </w:tcPr>
          <w:p w14:paraId="0FF17BBC">
            <w:pPr>
              <w:widowControl/>
              <w:adjustRightInd/>
              <w:spacing w:line="240" w:lineRule="auto"/>
              <w:jc w:val="center"/>
              <w:rPr>
                <w:rFonts w:ascii="宋体" w:hAnsi="宋体" w:cs="宋体"/>
                <w:bCs/>
                <w:sz w:val="18"/>
                <w:szCs w:val="18"/>
              </w:rPr>
            </w:pPr>
          </w:p>
        </w:tc>
        <w:tc>
          <w:tcPr>
            <w:tcW w:w="433" w:type="dxa"/>
            <w:tcBorders>
              <w:top w:val="single" w:color="auto" w:sz="8" w:space="0"/>
              <w:bottom w:val="single" w:color="auto" w:sz="8" w:space="0"/>
              <w:right w:val="single" w:color="auto" w:sz="4" w:space="0"/>
            </w:tcBorders>
            <w:shd w:val="clear" w:color="auto" w:fill="auto"/>
            <w:noWrap/>
            <w:tcMar>
              <w:top w:w="10" w:type="dxa"/>
              <w:left w:w="10" w:type="dxa"/>
              <w:right w:w="10" w:type="dxa"/>
            </w:tcMar>
            <w:vAlign w:val="center"/>
          </w:tcPr>
          <w:p w14:paraId="08E854FA">
            <w:pPr>
              <w:widowControl/>
              <w:adjustRightInd/>
              <w:spacing w:line="240" w:lineRule="auto"/>
              <w:jc w:val="center"/>
              <w:rPr>
                <w:rFonts w:ascii="宋体" w:hAnsi="宋体" w:cs="宋体"/>
                <w:bCs/>
                <w:sz w:val="18"/>
                <w:szCs w:val="18"/>
              </w:rPr>
            </w:pPr>
          </w:p>
        </w:tc>
        <w:tc>
          <w:tcPr>
            <w:tcW w:w="364" w:type="dxa"/>
            <w:tcBorders>
              <w:top w:val="single" w:color="auto" w:sz="8" w:space="0"/>
              <w:bottom w:val="single" w:color="auto" w:sz="8" w:space="0"/>
              <w:right w:val="single" w:color="auto" w:sz="4" w:space="0"/>
            </w:tcBorders>
            <w:shd w:val="clear" w:color="auto" w:fill="auto"/>
            <w:noWrap/>
            <w:tcMar>
              <w:top w:w="10" w:type="dxa"/>
              <w:left w:w="10" w:type="dxa"/>
              <w:right w:w="10" w:type="dxa"/>
            </w:tcMar>
            <w:vAlign w:val="center"/>
          </w:tcPr>
          <w:p w14:paraId="3F558245">
            <w:pPr>
              <w:widowControl/>
              <w:adjustRightInd/>
              <w:spacing w:line="240" w:lineRule="auto"/>
              <w:jc w:val="center"/>
              <w:rPr>
                <w:rFonts w:ascii="宋体" w:hAnsi="宋体" w:cs="宋体"/>
                <w:bCs/>
                <w:sz w:val="18"/>
                <w:szCs w:val="18"/>
              </w:rPr>
            </w:pPr>
          </w:p>
        </w:tc>
        <w:tc>
          <w:tcPr>
            <w:tcW w:w="420" w:type="dxa"/>
            <w:tcBorders>
              <w:top w:val="single" w:color="auto" w:sz="8" w:space="0"/>
              <w:bottom w:val="single" w:color="auto" w:sz="8" w:space="0"/>
            </w:tcBorders>
            <w:shd w:val="clear" w:color="auto" w:fill="auto"/>
            <w:noWrap/>
            <w:tcMar>
              <w:top w:w="10" w:type="dxa"/>
              <w:left w:w="10" w:type="dxa"/>
              <w:right w:w="10" w:type="dxa"/>
            </w:tcMar>
            <w:vAlign w:val="center"/>
          </w:tcPr>
          <w:p w14:paraId="7610966A">
            <w:pPr>
              <w:widowControl/>
              <w:adjustRightInd/>
              <w:spacing w:line="240" w:lineRule="auto"/>
              <w:jc w:val="center"/>
              <w:rPr>
                <w:rFonts w:ascii="宋体" w:hAnsi="宋体" w:cs="宋体"/>
                <w:bCs/>
                <w:sz w:val="18"/>
                <w:szCs w:val="18"/>
              </w:rPr>
            </w:pPr>
          </w:p>
        </w:tc>
        <w:tc>
          <w:tcPr>
            <w:tcW w:w="539" w:type="dxa"/>
            <w:tcBorders>
              <w:top w:val="single" w:color="auto" w:sz="8" w:space="0"/>
              <w:bottom w:val="single" w:color="auto" w:sz="8" w:space="0"/>
            </w:tcBorders>
            <w:shd w:val="clear" w:color="auto" w:fill="auto"/>
            <w:noWrap/>
            <w:tcMar>
              <w:top w:w="10" w:type="dxa"/>
              <w:left w:w="10" w:type="dxa"/>
              <w:right w:w="10" w:type="dxa"/>
            </w:tcMar>
            <w:vAlign w:val="center"/>
          </w:tcPr>
          <w:p w14:paraId="3DBF8A28">
            <w:pPr>
              <w:widowControl/>
              <w:adjustRightInd/>
              <w:spacing w:line="240" w:lineRule="auto"/>
              <w:jc w:val="center"/>
              <w:rPr>
                <w:rFonts w:ascii="宋体" w:hAnsi="宋体" w:cs="宋体"/>
                <w:bCs/>
                <w:sz w:val="18"/>
                <w:szCs w:val="18"/>
              </w:rPr>
            </w:pPr>
          </w:p>
        </w:tc>
        <w:tc>
          <w:tcPr>
            <w:tcW w:w="462" w:type="dxa"/>
            <w:tcBorders>
              <w:top w:val="single" w:color="auto" w:sz="8" w:space="0"/>
              <w:bottom w:val="single" w:color="auto" w:sz="8" w:space="0"/>
            </w:tcBorders>
            <w:shd w:val="clear" w:color="auto" w:fill="auto"/>
            <w:noWrap/>
            <w:tcMar>
              <w:top w:w="10" w:type="dxa"/>
              <w:left w:w="10" w:type="dxa"/>
              <w:right w:w="10" w:type="dxa"/>
            </w:tcMar>
            <w:vAlign w:val="center"/>
          </w:tcPr>
          <w:p w14:paraId="5B2AFA48">
            <w:pPr>
              <w:widowControl/>
              <w:adjustRightInd/>
              <w:spacing w:line="240" w:lineRule="auto"/>
              <w:jc w:val="center"/>
              <w:rPr>
                <w:rFonts w:ascii="宋体" w:hAnsi="宋体" w:cs="宋体"/>
                <w:bCs/>
                <w:sz w:val="18"/>
                <w:szCs w:val="18"/>
              </w:rPr>
            </w:pPr>
          </w:p>
        </w:tc>
        <w:tc>
          <w:tcPr>
            <w:tcW w:w="462" w:type="dxa"/>
            <w:tcBorders>
              <w:top w:val="single" w:color="auto" w:sz="8" w:space="0"/>
              <w:bottom w:val="single" w:color="auto" w:sz="8" w:space="0"/>
            </w:tcBorders>
            <w:shd w:val="clear" w:color="auto" w:fill="auto"/>
            <w:noWrap/>
            <w:tcMar>
              <w:top w:w="10" w:type="dxa"/>
              <w:left w:w="10" w:type="dxa"/>
              <w:right w:w="10" w:type="dxa"/>
            </w:tcMar>
            <w:vAlign w:val="center"/>
          </w:tcPr>
          <w:p w14:paraId="5C3F1684">
            <w:pPr>
              <w:widowControl/>
              <w:adjustRightInd/>
              <w:spacing w:line="240" w:lineRule="auto"/>
              <w:jc w:val="center"/>
              <w:rPr>
                <w:rFonts w:ascii="宋体" w:hAnsi="宋体" w:cs="宋体"/>
                <w:bCs/>
                <w:sz w:val="18"/>
                <w:szCs w:val="18"/>
              </w:rPr>
            </w:pPr>
          </w:p>
        </w:tc>
        <w:tc>
          <w:tcPr>
            <w:tcW w:w="434" w:type="dxa"/>
            <w:tcBorders>
              <w:top w:val="single" w:color="auto" w:sz="8" w:space="0"/>
              <w:bottom w:val="single" w:color="auto" w:sz="8" w:space="0"/>
            </w:tcBorders>
            <w:shd w:val="clear" w:color="auto" w:fill="auto"/>
            <w:noWrap/>
            <w:tcMar>
              <w:top w:w="10" w:type="dxa"/>
              <w:left w:w="10" w:type="dxa"/>
              <w:right w:w="10" w:type="dxa"/>
            </w:tcMar>
            <w:vAlign w:val="center"/>
          </w:tcPr>
          <w:p w14:paraId="7F59E9D2">
            <w:pPr>
              <w:widowControl/>
              <w:adjustRightInd/>
              <w:spacing w:line="240" w:lineRule="auto"/>
              <w:jc w:val="center"/>
              <w:rPr>
                <w:rFonts w:ascii="宋体" w:hAnsi="宋体" w:cs="宋体"/>
                <w:bCs/>
                <w:sz w:val="18"/>
                <w:szCs w:val="18"/>
              </w:rPr>
            </w:pPr>
          </w:p>
        </w:tc>
        <w:tc>
          <w:tcPr>
            <w:tcW w:w="406" w:type="dxa"/>
            <w:tcBorders>
              <w:top w:val="single" w:color="auto" w:sz="8" w:space="0"/>
              <w:bottom w:val="single" w:color="auto" w:sz="8" w:space="0"/>
            </w:tcBorders>
            <w:shd w:val="clear" w:color="auto" w:fill="auto"/>
            <w:noWrap/>
            <w:tcMar>
              <w:top w:w="10" w:type="dxa"/>
              <w:left w:w="10" w:type="dxa"/>
              <w:right w:w="10" w:type="dxa"/>
            </w:tcMar>
            <w:vAlign w:val="center"/>
          </w:tcPr>
          <w:p w14:paraId="47D4A905">
            <w:pPr>
              <w:widowControl/>
              <w:adjustRightInd/>
              <w:spacing w:line="240" w:lineRule="auto"/>
              <w:jc w:val="center"/>
              <w:rPr>
                <w:rFonts w:ascii="宋体" w:hAnsi="宋体" w:cs="宋体"/>
                <w:bCs/>
                <w:sz w:val="18"/>
                <w:szCs w:val="18"/>
              </w:rPr>
            </w:pPr>
          </w:p>
        </w:tc>
        <w:tc>
          <w:tcPr>
            <w:tcW w:w="448" w:type="dxa"/>
            <w:tcBorders>
              <w:top w:val="single" w:color="auto" w:sz="8" w:space="0"/>
              <w:bottom w:val="single" w:color="auto" w:sz="8" w:space="0"/>
            </w:tcBorders>
            <w:shd w:val="clear" w:color="auto" w:fill="auto"/>
            <w:noWrap/>
            <w:tcMar>
              <w:top w:w="10" w:type="dxa"/>
              <w:left w:w="10" w:type="dxa"/>
              <w:right w:w="10" w:type="dxa"/>
            </w:tcMar>
            <w:vAlign w:val="center"/>
          </w:tcPr>
          <w:p w14:paraId="471768DF">
            <w:pPr>
              <w:widowControl/>
              <w:adjustRightInd/>
              <w:spacing w:line="240" w:lineRule="auto"/>
              <w:jc w:val="center"/>
              <w:rPr>
                <w:rFonts w:ascii="宋体" w:hAnsi="宋体" w:cs="宋体"/>
                <w:bCs/>
                <w:sz w:val="18"/>
                <w:szCs w:val="18"/>
              </w:rPr>
            </w:pPr>
          </w:p>
        </w:tc>
        <w:tc>
          <w:tcPr>
            <w:tcW w:w="475" w:type="dxa"/>
            <w:tcBorders>
              <w:top w:val="single" w:color="auto" w:sz="8" w:space="0"/>
              <w:bottom w:val="single" w:color="auto" w:sz="8" w:space="0"/>
            </w:tcBorders>
            <w:shd w:val="clear" w:color="auto" w:fill="auto"/>
            <w:noWrap/>
            <w:tcMar>
              <w:top w:w="10" w:type="dxa"/>
              <w:left w:w="10" w:type="dxa"/>
              <w:right w:w="10" w:type="dxa"/>
            </w:tcMar>
            <w:vAlign w:val="center"/>
          </w:tcPr>
          <w:p w14:paraId="7F1718EE">
            <w:pPr>
              <w:widowControl/>
              <w:adjustRightInd/>
              <w:spacing w:line="240" w:lineRule="auto"/>
              <w:jc w:val="center"/>
              <w:rPr>
                <w:rFonts w:ascii="宋体" w:hAnsi="宋体" w:cs="宋体"/>
                <w:bCs/>
                <w:sz w:val="18"/>
                <w:szCs w:val="18"/>
              </w:rPr>
            </w:pPr>
          </w:p>
        </w:tc>
        <w:tc>
          <w:tcPr>
            <w:tcW w:w="420" w:type="dxa"/>
            <w:tcBorders>
              <w:top w:val="single" w:color="auto" w:sz="8" w:space="0"/>
              <w:bottom w:val="single" w:color="auto" w:sz="8" w:space="0"/>
            </w:tcBorders>
            <w:shd w:val="clear" w:color="auto" w:fill="auto"/>
            <w:noWrap/>
            <w:tcMar>
              <w:top w:w="10" w:type="dxa"/>
              <w:left w:w="10" w:type="dxa"/>
              <w:right w:w="10" w:type="dxa"/>
            </w:tcMar>
            <w:vAlign w:val="center"/>
          </w:tcPr>
          <w:p w14:paraId="16753C06">
            <w:pPr>
              <w:widowControl/>
              <w:adjustRightInd/>
              <w:spacing w:line="240" w:lineRule="auto"/>
              <w:jc w:val="center"/>
              <w:rPr>
                <w:rFonts w:ascii="宋体" w:hAnsi="宋体" w:cs="宋体"/>
                <w:bCs/>
                <w:sz w:val="18"/>
                <w:szCs w:val="18"/>
              </w:rPr>
            </w:pPr>
          </w:p>
        </w:tc>
        <w:tc>
          <w:tcPr>
            <w:tcW w:w="518" w:type="dxa"/>
            <w:tcBorders>
              <w:top w:val="single" w:color="auto" w:sz="8" w:space="0"/>
              <w:bottom w:val="single" w:color="auto" w:sz="8" w:space="0"/>
            </w:tcBorders>
            <w:shd w:val="clear" w:color="auto" w:fill="auto"/>
            <w:noWrap/>
            <w:tcMar>
              <w:top w:w="10" w:type="dxa"/>
              <w:left w:w="10" w:type="dxa"/>
              <w:right w:w="10" w:type="dxa"/>
            </w:tcMar>
            <w:vAlign w:val="center"/>
          </w:tcPr>
          <w:p w14:paraId="37C11163">
            <w:pPr>
              <w:widowControl/>
              <w:adjustRightInd/>
              <w:spacing w:line="240" w:lineRule="auto"/>
              <w:jc w:val="center"/>
              <w:rPr>
                <w:rFonts w:ascii="宋体" w:hAnsi="宋体" w:cs="宋体"/>
                <w:bCs/>
                <w:sz w:val="18"/>
                <w:szCs w:val="18"/>
              </w:rPr>
            </w:pPr>
          </w:p>
        </w:tc>
        <w:tc>
          <w:tcPr>
            <w:tcW w:w="518" w:type="dxa"/>
            <w:tcBorders>
              <w:top w:val="single" w:color="auto" w:sz="8" w:space="0"/>
              <w:bottom w:val="single" w:color="auto" w:sz="8" w:space="0"/>
            </w:tcBorders>
            <w:shd w:val="clear" w:color="auto" w:fill="auto"/>
            <w:noWrap/>
            <w:tcMar>
              <w:top w:w="10" w:type="dxa"/>
              <w:left w:w="10" w:type="dxa"/>
              <w:right w:w="10" w:type="dxa"/>
            </w:tcMar>
            <w:vAlign w:val="center"/>
          </w:tcPr>
          <w:p w14:paraId="2CCFA86A">
            <w:pPr>
              <w:widowControl/>
              <w:adjustRightInd/>
              <w:spacing w:line="240" w:lineRule="auto"/>
              <w:jc w:val="center"/>
              <w:rPr>
                <w:rFonts w:ascii="宋体" w:hAnsi="宋体" w:cs="宋体"/>
                <w:bCs/>
                <w:sz w:val="18"/>
                <w:szCs w:val="18"/>
              </w:rPr>
            </w:pPr>
          </w:p>
        </w:tc>
        <w:tc>
          <w:tcPr>
            <w:tcW w:w="462" w:type="dxa"/>
            <w:tcBorders>
              <w:top w:val="single" w:color="auto" w:sz="8" w:space="0"/>
              <w:bottom w:val="single" w:color="auto" w:sz="8" w:space="0"/>
            </w:tcBorders>
            <w:shd w:val="clear" w:color="auto" w:fill="auto"/>
            <w:noWrap/>
            <w:tcMar>
              <w:top w:w="10" w:type="dxa"/>
              <w:left w:w="10" w:type="dxa"/>
              <w:right w:w="10" w:type="dxa"/>
            </w:tcMar>
            <w:vAlign w:val="center"/>
          </w:tcPr>
          <w:p w14:paraId="7E1E3399">
            <w:pPr>
              <w:widowControl/>
              <w:adjustRightInd/>
              <w:spacing w:line="240" w:lineRule="auto"/>
              <w:jc w:val="center"/>
              <w:rPr>
                <w:rFonts w:ascii="宋体" w:hAnsi="宋体" w:cs="宋体"/>
                <w:bCs/>
                <w:sz w:val="18"/>
                <w:szCs w:val="18"/>
              </w:rPr>
            </w:pPr>
          </w:p>
        </w:tc>
        <w:tc>
          <w:tcPr>
            <w:tcW w:w="518" w:type="dxa"/>
            <w:tcBorders>
              <w:top w:val="single" w:color="auto" w:sz="8" w:space="0"/>
              <w:bottom w:val="single" w:color="auto" w:sz="8" w:space="0"/>
            </w:tcBorders>
            <w:shd w:val="clear" w:color="auto" w:fill="auto"/>
            <w:noWrap/>
            <w:tcMar>
              <w:top w:w="10" w:type="dxa"/>
              <w:left w:w="10" w:type="dxa"/>
              <w:right w:w="10" w:type="dxa"/>
            </w:tcMar>
            <w:vAlign w:val="center"/>
          </w:tcPr>
          <w:p w14:paraId="67827285">
            <w:pPr>
              <w:widowControl/>
              <w:adjustRightInd/>
              <w:spacing w:line="240" w:lineRule="auto"/>
              <w:jc w:val="center"/>
              <w:rPr>
                <w:rFonts w:ascii="宋体" w:hAnsi="宋体" w:cs="宋体"/>
                <w:bCs/>
                <w:sz w:val="18"/>
                <w:szCs w:val="18"/>
              </w:rPr>
            </w:pPr>
          </w:p>
        </w:tc>
        <w:tc>
          <w:tcPr>
            <w:tcW w:w="574" w:type="dxa"/>
            <w:tcBorders>
              <w:top w:val="single" w:color="auto" w:sz="8" w:space="0"/>
              <w:bottom w:val="single" w:color="auto" w:sz="8" w:space="0"/>
            </w:tcBorders>
            <w:shd w:val="clear" w:color="auto" w:fill="auto"/>
            <w:noWrap/>
            <w:tcMar>
              <w:top w:w="10" w:type="dxa"/>
              <w:left w:w="10" w:type="dxa"/>
              <w:right w:w="10" w:type="dxa"/>
            </w:tcMar>
            <w:vAlign w:val="center"/>
          </w:tcPr>
          <w:p w14:paraId="20200118">
            <w:pPr>
              <w:widowControl/>
              <w:adjustRightInd/>
              <w:spacing w:line="240" w:lineRule="auto"/>
              <w:jc w:val="center"/>
              <w:rPr>
                <w:rFonts w:ascii="宋体" w:hAnsi="宋体" w:cs="宋体"/>
                <w:bCs/>
                <w:sz w:val="18"/>
                <w:szCs w:val="18"/>
              </w:rPr>
            </w:pPr>
          </w:p>
        </w:tc>
        <w:tc>
          <w:tcPr>
            <w:tcW w:w="483" w:type="dxa"/>
            <w:tcBorders>
              <w:top w:val="single" w:color="auto" w:sz="8" w:space="0"/>
              <w:bottom w:val="single" w:color="auto" w:sz="8" w:space="0"/>
              <w:right w:val="single" w:color="000000" w:sz="8" w:space="0"/>
            </w:tcBorders>
            <w:shd w:val="clear" w:color="auto" w:fill="auto"/>
            <w:noWrap/>
            <w:tcMar>
              <w:top w:w="10" w:type="dxa"/>
              <w:left w:w="10" w:type="dxa"/>
              <w:right w:w="10" w:type="dxa"/>
            </w:tcMar>
            <w:vAlign w:val="center"/>
          </w:tcPr>
          <w:p w14:paraId="3D962A01">
            <w:pPr>
              <w:widowControl/>
              <w:adjustRightInd/>
              <w:spacing w:line="240" w:lineRule="auto"/>
              <w:jc w:val="center"/>
              <w:rPr>
                <w:rFonts w:ascii="宋体" w:hAnsi="宋体" w:cs="宋体"/>
                <w:bCs/>
                <w:sz w:val="18"/>
                <w:szCs w:val="18"/>
              </w:rPr>
            </w:pPr>
          </w:p>
        </w:tc>
      </w:tr>
      <w:tr w14:paraId="3F5A0F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jc w:val="center"/>
        </w:trPr>
        <w:tc>
          <w:tcPr>
            <w:tcW w:w="9363" w:type="dxa"/>
            <w:gridSpan w:val="20"/>
            <w:tcBorders>
              <w:top w:val="single" w:color="auto"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14:paraId="711519EF">
            <w:pPr>
              <w:pStyle w:val="180"/>
              <w:numPr>
                <w:ilvl w:val="0"/>
                <w:numId w:val="33"/>
              </w:numPr>
            </w:pPr>
            <w:r>
              <w:rPr>
                <w:rFonts w:hint="eastAsia"/>
              </w:rPr>
              <w:t>工程编码是标记该设备的安装大体位置及与工程的依附关系。</w:t>
            </w:r>
          </w:p>
          <w:p w14:paraId="117D0ED3">
            <w:pPr>
              <w:pStyle w:val="180"/>
            </w:pPr>
            <w:r>
              <w:rPr>
                <w:rFonts w:hint="eastAsia"/>
              </w:rPr>
              <w:t>工程类型标记所属工程是渠道、泵站、闸站、湖泊、水库、管道井、大型附属设施，由管理单位统一进行编码，编码与名称有唯一的对应关系，是制作数据字典的依据。</w:t>
            </w:r>
          </w:p>
          <w:p w14:paraId="09987A23">
            <w:pPr>
              <w:pStyle w:val="180"/>
            </w:pPr>
            <w:r>
              <w:rPr>
                <w:rFonts w:hint="eastAsia"/>
              </w:rPr>
              <w:t>渠底高程标记建筑物前后的基准，是校核采集设备的主要依据，闸为闸前</w:t>
            </w:r>
            <w:r>
              <w:t>/后渠底高程，泵为前/后池高程，采集单位采用国标对单位的要求，保留4位有效小数（以下各指标均参考国标标准）</w:t>
            </w:r>
            <w:r>
              <w:rPr>
                <w:rFonts w:hint="eastAsia"/>
              </w:rPr>
              <w:t>。</w:t>
            </w:r>
          </w:p>
          <w:p w14:paraId="37D35142">
            <w:pPr>
              <w:pStyle w:val="180"/>
            </w:pPr>
            <w:r>
              <w:rPr>
                <w:rFonts w:hint="eastAsia"/>
              </w:rPr>
              <w:t>机组扬程标记机组在不同转速下扬程的变化，分最小，设计、最大扬程。</w:t>
            </w:r>
          </w:p>
          <w:p w14:paraId="2FD51B67">
            <w:pPr>
              <w:pStyle w:val="180"/>
            </w:pPr>
            <w:r>
              <w:rPr>
                <w:rFonts w:hint="eastAsia"/>
              </w:rPr>
              <w:t>设计水位标记正常调水时的水位保持情况，同最低水位、加大设计水位共同为水量调度的模型计算提供支撑。</w:t>
            </w:r>
          </w:p>
          <w:p w14:paraId="289A4C96">
            <w:pPr>
              <w:pStyle w:val="180"/>
            </w:pPr>
            <w:r>
              <w:rPr>
                <w:rFonts w:hint="eastAsia"/>
              </w:rPr>
              <w:t>设计流量标记正常调水的流量保持情况。</w:t>
            </w:r>
          </w:p>
          <w:p w14:paraId="7AD044D3">
            <w:pPr>
              <w:pStyle w:val="180"/>
            </w:pPr>
            <w:r>
              <w:rPr>
                <w:rFonts w:hint="eastAsia"/>
              </w:rPr>
              <w:t>机组类型标记是轴流泵，混流泵及其他类型泵。</w:t>
            </w:r>
          </w:p>
          <w:p w14:paraId="12D19E28">
            <w:pPr>
              <w:pStyle w:val="180"/>
            </w:pPr>
            <w:r>
              <w:rPr>
                <w:rFonts w:hint="eastAsia"/>
              </w:rPr>
              <w:t>机组数量标记安装机组的总数量及冗余情况。</w:t>
            </w:r>
          </w:p>
          <w:p w14:paraId="3B8EA1CA">
            <w:pPr>
              <w:pStyle w:val="180"/>
            </w:pPr>
            <w:r>
              <w:rPr>
                <w:rFonts w:hint="eastAsia"/>
              </w:rPr>
              <w:t>设计洪水水位标记百年一遇设计水位。</w:t>
            </w:r>
          </w:p>
        </w:tc>
      </w:tr>
    </w:tbl>
    <w:p w14:paraId="38C65DF4">
      <w:pPr>
        <w:pStyle w:val="56"/>
        <w:ind w:firstLine="420"/>
      </w:pPr>
    </w:p>
    <w:p w14:paraId="5BFB724C">
      <w:pPr>
        <w:pStyle w:val="56"/>
        <w:ind w:firstLine="420"/>
      </w:pPr>
    </w:p>
    <w:p w14:paraId="51F1766E">
      <w:pPr>
        <w:pStyle w:val="78"/>
        <w:spacing w:before="156" w:after="156"/>
      </w:pPr>
      <w:bookmarkStart w:id="181" w:name="_Toc178153350"/>
      <w:r>
        <w:rPr>
          <w:rFonts w:hint="eastAsia"/>
        </w:rPr>
        <w:t>设备信息点表</w:t>
      </w:r>
      <w:bookmarkEnd w:id="181"/>
    </w:p>
    <w:p w14:paraId="2A357442">
      <w:pPr>
        <w:pStyle w:val="56"/>
        <w:ind w:firstLine="420"/>
      </w:pPr>
      <w:r>
        <w:rPr>
          <w:rFonts w:hint="eastAsia"/>
        </w:rPr>
        <w:t>骨干水网信息化建设过程中，设备信息点表数据的采集见表A.5。</w:t>
      </w:r>
    </w:p>
    <w:p w14:paraId="3E040C98">
      <w:pPr>
        <w:pStyle w:val="77"/>
        <w:spacing w:before="156" w:after="156"/>
      </w:pPr>
      <w:r>
        <w:rPr>
          <w:rFonts w:hint="eastAsia"/>
        </w:rPr>
        <w:t>设备信息点表</w:t>
      </w:r>
    </w:p>
    <w:tbl>
      <w:tblPr>
        <w:tblStyle w:val="26"/>
        <w:tblW w:w="93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70"/>
        <w:gridCol w:w="2698"/>
        <w:gridCol w:w="1939"/>
        <w:gridCol w:w="1501"/>
        <w:gridCol w:w="1276"/>
        <w:gridCol w:w="1278"/>
      </w:tblGrid>
      <w:tr w14:paraId="075DA6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0" w:type="dxa"/>
            <w:tcBorders>
              <w:top w:val="single" w:color="auto" w:sz="8" w:space="0"/>
              <w:bottom w:val="single" w:color="auto" w:sz="8" w:space="0"/>
            </w:tcBorders>
            <w:shd w:val="clear" w:color="auto" w:fill="auto"/>
            <w:vAlign w:val="center"/>
          </w:tcPr>
          <w:p w14:paraId="18213071">
            <w:pPr>
              <w:widowControl/>
              <w:adjustRightInd/>
              <w:spacing w:line="240" w:lineRule="auto"/>
              <w:jc w:val="center"/>
              <w:rPr>
                <w:rFonts w:ascii="宋体" w:hAnsi="宋体" w:cs="宋体"/>
                <w:bCs/>
                <w:sz w:val="18"/>
                <w:szCs w:val="18"/>
              </w:rPr>
            </w:pPr>
            <w:r>
              <w:rPr>
                <w:rFonts w:hint="eastAsia" w:ascii="宋体" w:hAnsi="宋体" w:cs="宋体"/>
                <w:bCs/>
                <w:sz w:val="18"/>
                <w:szCs w:val="18"/>
              </w:rPr>
              <w:t>编号</w:t>
            </w:r>
          </w:p>
        </w:tc>
        <w:tc>
          <w:tcPr>
            <w:tcW w:w="2698" w:type="dxa"/>
            <w:tcBorders>
              <w:top w:val="single" w:color="auto" w:sz="8" w:space="0"/>
              <w:bottom w:val="single" w:color="auto" w:sz="8" w:space="0"/>
            </w:tcBorders>
            <w:shd w:val="clear" w:color="auto" w:fill="auto"/>
            <w:vAlign w:val="center"/>
          </w:tcPr>
          <w:p w14:paraId="427ECDD5">
            <w:pPr>
              <w:widowControl/>
              <w:adjustRightInd/>
              <w:spacing w:line="240" w:lineRule="auto"/>
              <w:jc w:val="center"/>
              <w:rPr>
                <w:rFonts w:ascii="宋体" w:hAnsi="宋体" w:cs="宋体"/>
                <w:bCs/>
                <w:sz w:val="18"/>
                <w:szCs w:val="18"/>
              </w:rPr>
            </w:pPr>
            <w:r>
              <w:rPr>
                <w:rFonts w:hint="eastAsia" w:ascii="宋体" w:hAnsi="宋体" w:cs="宋体"/>
                <w:bCs/>
                <w:sz w:val="18"/>
                <w:szCs w:val="18"/>
              </w:rPr>
              <w:t>设备名称</w:t>
            </w:r>
          </w:p>
        </w:tc>
        <w:tc>
          <w:tcPr>
            <w:tcW w:w="1939" w:type="dxa"/>
            <w:tcBorders>
              <w:top w:val="single" w:color="auto" w:sz="8" w:space="0"/>
              <w:bottom w:val="single" w:color="auto" w:sz="8" w:space="0"/>
            </w:tcBorders>
            <w:shd w:val="clear" w:color="auto" w:fill="auto"/>
            <w:vAlign w:val="center"/>
          </w:tcPr>
          <w:p w14:paraId="1F907EE3">
            <w:pPr>
              <w:widowControl/>
              <w:adjustRightInd/>
              <w:spacing w:line="240" w:lineRule="auto"/>
              <w:jc w:val="center"/>
              <w:rPr>
                <w:rFonts w:ascii="宋体" w:hAnsi="宋体" w:cs="宋体"/>
                <w:bCs/>
                <w:sz w:val="18"/>
                <w:szCs w:val="18"/>
              </w:rPr>
            </w:pPr>
            <w:r>
              <w:rPr>
                <w:rFonts w:hint="eastAsia" w:ascii="宋体" w:hAnsi="宋体" w:cs="宋体"/>
                <w:bCs/>
                <w:sz w:val="18"/>
                <w:szCs w:val="18"/>
              </w:rPr>
              <w:t>ip地址</w:t>
            </w:r>
          </w:p>
        </w:tc>
        <w:tc>
          <w:tcPr>
            <w:tcW w:w="1501" w:type="dxa"/>
            <w:tcBorders>
              <w:top w:val="single" w:color="auto" w:sz="8" w:space="0"/>
              <w:bottom w:val="single" w:color="auto" w:sz="8" w:space="0"/>
            </w:tcBorders>
            <w:shd w:val="clear" w:color="auto" w:fill="auto"/>
            <w:vAlign w:val="center"/>
          </w:tcPr>
          <w:p w14:paraId="3F5C459A">
            <w:pPr>
              <w:widowControl/>
              <w:adjustRightInd/>
              <w:spacing w:line="240" w:lineRule="auto"/>
              <w:jc w:val="center"/>
              <w:rPr>
                <w:rFonts w:ascii="宋体" w:hAnsi="宋体" w:cs="宋体"/>
                <w:bCs/>
                <w:sz w:val="18"/>
                <w:szCs w:val="18"/>
              </w:rPr>
            </w:pPr>
            <w:r>
              <w:rPr>
                <w:rFonts w:hint="eastAsia" w:ascii="宋体" w:hAnsi="宋体" w:cs="宋体"/>
                <w:bCs/>
                <w:sz w:val="18"/>
                <w:szCs w:val="18"/>
              </w:rPr>
              <w:t>通讯协议</w:t>
            </w:r>
          </w:p>
        </w:tc>
        <w:tc>
          <w:tcPr>
            <w:tcW w:w="1276" w:type="dxa"/>
            <w:tcBorders>
              <w:top w:val="single" w:color="auto" w:sz="8" w:space="0"/>
              <w:bottom w:val="single" w:color="auto" w:sz="8" w:space="0"/>
            </w:tcBorders>
            <w:shd w:val="clear" w:color="auto" w:fill="auto"/>
            <w:vAlign w:val="center"/>
          </w:tcPr>
          <w:p w14:paraId="0761372C">
            <w:pPr>
              <w:widowControl/>
              <w:adjustRightInd/>
              <w:spacing w:line="240" w:lineRule="auto"/>
              <w:jc w:val="center"/>
              <w:rPr>
                <w:rFonts w:ascii="宋体" w:hAnsi="宋体" w:cs="宋体"/>
                <w:bCs/>
                <w:sz w:val="18"/>
                <w:szCs w:val="18"/>
              </w:rPr>
            </w:pPr>
            <w:r>
              <w:rPr>
                <w:rFonts w:hint="eastAsia" w:ascii="宋体" w:hAnsi="宋体" w:cs="宋体"/>
                <w:bCs/>
                <w:sz w:val="18"/>
                <w:szCs w:val="18"/>
              </w:rPr>
              <w:t>网口</w:t>
            </w:r>
          </w:p>
        </w:tc>
        <w:tc>
          <w:tcPr>
            <w:tcW w:w="1278" w:type="dxa"/>
            <w:tcBorders>
              <w:top w:val="single" w:color="auto" w:sz="8" w:space="0"/>
              <w:bottom w:val="single" w:color="auto" w:sz="8" w:space="0"/>
            </w:tcBorders>
            <w:shd w:val="clear" w:color="auto" w:fill="auto"/>
            <w:vAlign w:val="center"/>
          </w:tcPr>
          <w:p w14:paraId="23355348">
            <w:pPr>
              <w:widowControl/>
              <w:adjustRightInd/>
              <w:spacing w:line="240" w:lineRule="auto"/>
              <w:jc w:val="center"/>
              <w:rPr>
                <w:rFonts w:ascii="宋体" w:hAnsi="宋体" w:cs="宋体"/>
                <w:bCs/>
                <w:sz w:val="18"/>
                <w:szCs w:val="18"/>
              </w:rPr>
            </w:pPr>
            <w:r>
              <w:rPr>
                <w:rFonts w:hint="eastAsia" w:ascii="宋体" w:hAnsi="宋体" w:cs="宋体"/>
                <w:bCs/>
                <w:sz w:val="18"/>
                <w:szCs w:val="18"/>
              </w:rPr>
              <w:t>设备状态</w:t>
            </w:r>
          </w:p>
        </w:tc>
      </w:tr>
      <w:tr w14:paraId="09D4B5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0" w:type="dxa"/>
            <w:tcBorders>
              <w:top w:val="single" w:color="auto" w:sz="8" w:space="0"/>
              <w:bottom w:val="single" w:color="auto" w:sz="8" w:space="0"/>
            </w:tcBorders>
            <w:shd w:val="clear" w:color="auto" w:fill="auto"/>
            <w:vAlign w:val="center"/>
          </w:tcPr>
          <w:p w14:paraId="5C021D5F">
            <w:pPr>
              <w:widowControl/>
              <w:adjustRightInd/>
              <w:spacing w:line="240" w:lineRule="auto"/>
              <w:jc w:val="center"/>
              <w:rPr>
                <w:rFonts w:ascii="宋体" w:hAnsi="宋体" w:cs="宋体"/>
                <w:bCs/>
                <w:sz w:val="18"/>
                <w:szCs w:val="18"/>
              </w:rPr>
            </w:pPr>
          </w:p>
        </w:tc>
        <w:tc>
          <w:tcPr>
            <w:tcW w:w="2698" w:type="dxa"/>
            <w:tcBorders>
              <w:top w:val="single" w:color="auto" w:sz="8" w:space="0"/>
              <w:bottom w:val="single" w:color="auto" w:sz="8" w:space="0"/>
            </w:tcBorders>
            <w:shd w:val="clear" w:color="auto" w:fill="auto"/>
            <w:vAlign w:val="center"/>
          </w:tcPr>
          <w:p w14:paraId="6AD28F71">
            <w:pPr>
              <w:widowControl/>
              <w:adjustRightInd/>
              <w:spacing w:line="240" w:lineRule="auto"/>
              <w:jc w:val="center"/>
              <w:rPr>
                <w:rFonts w:ascii="宋体" w:hAnsi="宋体" w:cs="宋体"/>
                <w:bCs/>
                <w:sz w:val="18"/>
                <w:szCs w:val="18"/>
              </w:rPr>
            </w:pPr>
          </w:p>
        </w:tc>
        <w:tc>
          <w:tcPr>
            <w:tcW w:w="1939" w:type="dxa"/>
            <w:tcBorders>
              <w:top w:val="single" w:color="auto" w:sz="8" w:space="0"/>
              <w:bottom w:val="single" w:color="auto" w:sz="8" w:space="0"/>
            </w:tcBorders>
            <w:shd w:val="clear" w:color="auto" w:fill="auto"/>
            <w:vAlign w:val="center"/>
          </w:tcPr>
          <w:p w14:paraId="0FE9CAFF">
            <w:pPr>
              <w:widowControl/>
              <w:adjustRightInd/>
              <w:spacing w:line="240" w:lineRule="auto"/>
              <w:jc w:val="center"/>
              <w:rPr>
                <w:rFonts w:ascii="宋体" w:hAnsi="宋体" w:cs="宋体"/>
                <w:bCs/>
                <w:sz w:val="18"/>
                <w:szCs w:val="18"/>
              </w:rPr>
            </w:pPr>
          </w:p>
        </w:tc>
        <w:tc>
          <w:tcPr>
            <w:tcW w:w="1501" w:type="dxa"/>
            <w:tcBorders>
              <w:top w:val="single" w:color="auto" w:sz="8" w:space="0"/>
              <w:bottom w:val="single" w:color="auto" w:sz="8" w:space="0"/>
            </w:tcBorders>
            <w:shd w:val="clear" w:color="auto" w:fill="auto"/>
            <w:vAlign w:val="center"/>
          </w:tcPr>
          <w:p w14:paraId="62416258">
            <w:pPr>
              <w:widowControl/>
              <w:adjustRightInd/>
              <w:spacing w:line="240" w:lineRule="auto"/>
              <w:jc w:val="center"/>
              <w:rPr>
                <w:rFonts w:ascii="宋体" w:hAnsi="宋体" w:cs="宋体"/>
                <w:bCs/>
                <w:sz w:val="18"/>
                <w:szCs w:val="18"/>
              </w:rPr>
            </w:pPr>
          </w:p>
        </w:tc>
        <w:tc>
          <w:tcPr>
            <w:tcW w:w="1276" w:type="dxa"/>
            <w:tcBorders>
              <w:top w:val="single" w:color="auto" w:sz="8" w:space="0"/>
              <w:bottom w:val="single" w:color="auto" w:sz="8" w:space="0"/>
            </w:tcBorders>
            <w:shd w:val="clear" w:color="auto" w:fill="auto"/>
            <w:vAlign w:val="center"/>
          </w:tcPr>
          <w:p w14:paraId="4395BEB7">
            <w:pPr>
              <w:widowControl/>
              <w:adjustRightInd/>
              <w:spacing w:line="240" w:lineRule="auto"/>
              <w:jc w:val="center"/>
              <w:rPr>
                <w:rFonts w:ascii="宋体" w:hAnsi="宋体" w:cs="宋体"/>
                <w:bCs/>
                <w:sz w:val="18"/>
                <w:szCs w:val="18"/>
              </w:rPr>
            </w:pPr>
          </w:p>
        </w:tc>
        <w:tc>
          <w:tcPr>
            <w:tcW w:w="1278" w:type="dxa"/>
            <w:tcBorders>
              <w:top w:val="single" w:color="auto" w:sz="8" w:space="0"/>
              <w:bottom w:val="single" w:color="auto" w:sz="8" w:space="0"/>
            </w:tcBorders>
            <w:shd w:val="clear" w:color="auto" w:fill="auto"/>
            <w:vAlign w:val="center"/>
          </w:tcPr>
          <w:p w14:paraId="789D3272">
            <w:pPr>
              <w:widowControl/>
              <w:adjustRightInd/>
              <w:spacing w:line="240" w:lineRule="auto"/>
              <w:jc w:val="center"/>
              <w:rPr>
                <w:rFonts w:ascii="宋体" w:hAnsi="宋体" w:cs="宋体"/>
                <w:bCs/>
                <w:sz w:val="18"/>
                <w:szCs w:val="18"/>
              </w:rPr>
            </w:pPr>
          </w:p>
        </w:tc>
      </w:tr>
      <w:tr w14:paraId="16A7C0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362" w:type="dxa"/>
            <w:gridSpan w:val="6"/>
            <w:tcBorders>
              <w:top w:val="single" w:color="auto" w:sz="8" w:space="0"/>
              <w:bottom w:val="single" w:color="auto" w:sz="8" w:space="0"/>
            </w:tcBorders>
            <w:shd w:val="clear" w:color="auto" w:fill="auto"/>
            <w:vAlign w:val="center"/>
          </w:tcPr>
          <w:p w14:paraId="23236175">
            <w:pPr>
              <w:pStyle w:val="180"/>
              <w:numPr>
                <w:ilvl w:val="0"/>
                <w:numId w:val="34"/>
              </w:numPr>
            </w:pPr>
            <w:r>
              <w:rPr>
                <w:rFonts w:hint="eastAsia"/>
              </w:rPr>
              <w:t>设备名称是标记该设备的位置、品牌类型与编号，具有唯一性，不可重复。</w:t>
            </w:r>
          </w:p>
          <w:p w14:paraId="006CDCEA">
            <w:pPr>
              <w:pStyle w:val="180"/>
            </w:pPr>
            <w:r>
              <w:rPr>
                <w:rFonts w:hint="eastAsia"/>
              </w:rPr>
              <w:t>ip地址是</w:t>
            </w:r>
            <w:r>
              <w:fldChar w:fldCharType="begin"/>
            </w:r>
            <w:r>
              <w:instrText xml:space="preserve"> HYPERLINK "https://baike.baidu.com/item/IP%E5%8D%8F%E8%AE%AE/131947?fromModule=lemma_inlink" \t "https://baike.baidu.com/item/IP%E5%9C%B0%E5%9D%80/_blank" </w:instrText>
            </w:r>
            <w:r>
              <w:fldChar w:fldCharType="separate"/>
            </w:r>
            <w:r>
              <w:rPr>
                <w:rFonts w:hint="eastAsia"/>
              </w:rPr>
              <w:t>IP协议</w:t>
            </w:r>
            <w:r>
              <w:rPr>
                <w:rFonts w:hint="eastAsia"/>
              </w:rPr>
              <w:fldChar w:fldCharType="end"/>
            </w:r>
            <w:r>
              <w:rPr>
                <w:rFonts w:hint="eastAsia"/>
              </w:rPr>
              <w:t>提供的一种统一的</w:t>
            </w:r>
            <w:r>
              <w:fldChar w:fldCharType="begin"/>
            </w:r>
            <w:r>
              <w:instrText xml:space="preserve"> HYPERLINK "https://baike.baidu.com/item/%E5%9C%B0%E5%9D%80%E6%A0%BC%E5%BC%8F/53569124?fromModule=lemma_inlink" \t "https://baike.baidu.com/item/IP%E5%9C%B0%E5%9D%80/_blank" </w:instrText>
            </w:r>
            <w:r>
              <w:fldChar w:fldCharType="separate"/>
            </w:r>
            <w:r>
              <w:rPr>
                <w:rFonts w:hint="eastAsia"/>
              </w:rPr>
              <w:t>地址格式</w:t>
            </w:r>
            <w:r>
              <w:rPr>
                <w:rFonts w:hint="eastAsia"/>
              </w:rPr>
              <w:fldChar w:fldCharType="end"/>
            </w:r>
            <w:r>
              <w:rPr>
                <w:rFonts w:hint="eastAsia"/>
              </w:rPr>
              <w:t>，它为互联网上的每一个网络和每一台</w:t>
            </w:r>
            <w:r>
              <w:fldChar w:fldCharType="begin"/>
            </w:r>
            <w:r>
              <w:instrText xml:space="preserve"> HYPERLINK "https://baike.baidu.com/item/%E4%B8%BB%E6%9C%BA/455151?fromModule=lemma_inlink" \t "https://baike.baidu.com/item/IP%E5%9C%B0%E5%9D%80/_blank" </w:instrText>
            </w:r>
            <w:r>
              <w:fldChar w:fldCharType="separate"/>
            </w:r>
            <w:r>
              <w:rPr>
                <w:rFonts w:hint="eastAsia"/>
              </w:rPr>
              <w:t>主机</w:t>
            </w:r>
            <w:r>
              <w:rPr>
                <w:rFonts w:hint="eastAsia"/>
              </w:rPr>
              <w:fldChar w:fldCharType="end"/>
            </w:r>
            <w:r>
              <w:rPr>
                <w:rFonts w:hint="eastAsia"/>
              </w:rPr>
              <w:t>分配一个</w:t>
            </w:r>
            <w:r>
              <w:fldChar w:fldCharType="begin"/>
            </w:r>
            <w:r>
              <w:instrText xml:space="preserve"> HYPERLINK "https://baike.baidu.com/item/%E9%80%BB%E8%BE%91%E5%9C%B0%E5%9D%80/3283849?fromModule=lemma_inlink" \t "https://baike.baidu.com/item/IP%E5%9C%B0%E5%9D%80/_blank" </w:instrText>
            </w:r>
            <w:r>
              <w:fldChar w:fldCharType="separate"/>
            </w:r>
            <w:r>
              <w:rPr>
                <w:rFonts w:hint="eastAsia"/>
              </w:rPr>
              <w:t>逻辑地址</w:t>
            </w:r>
            <w:r>
              <w:rPr>
                <w:rFonts w:hint="eastAsia"/>
              </w:rPr>
              <w:fldChar w:fldCharType="end"/>
            </w:r>
            <w:r>
              <w:rPr>
                <w:rFonts w:hint="eastAsia"/>
              </w:rPr>
              <w:t>，以此来屏蔽</w:t>
            </w:r>
            <w:r>
              <w:fldChar w:fldCharType="begin"/>
            </w:r>
            <w:r>
              <w:instrText xml:space="preserve"> HYPERLINK "https://baike.baidu.com/item/%E7%89%A9%E7%90%86%E5%9C%B0%E5%9D%80/2901583?fromModule=lemma_inlink" \t "https://baike.baidu.com/item/IP%E5%9C%B0%E5%9D%80/_blank" </w:instrText>
            </w:r>
            <w:r>
              <w:fldChar w:fldCharType="separate"/>
            </w:r>
            <w:r>
              <w:rPr>
                <w:rFonts w:hint="eastAsia"/>
              </w:rPr>
              <w:t>物理地址</w:t>
            </w:r>
            <w:r>
              <w:rPr>
                <w:rFonts w:hint="eastAsia"/>
              </w:rPr>
              <w:fldChar w:fldCharType="end"/>
            </w:r>
            <w:r>
              <w:rPr>
                <w:rFonts w:hint="eastAsia"/>
              </w:rPr>
              <w:t>的差异。</w:t>
            </w:r>
          </w:p>
          <w:p w14:paraId="130FF9DC">
            <w:pPr>
              <w:pStyle w:val="180"/>
            </w:pPr>
            <w:r>
              <w:rPr>
                <w:rFonts w:hint="eastAsia"/>
              </w:rPr>
              <w:t>通讯协议为设备所支持对外通信的协议名称，非国家通用标准协议应提供通讯协议说明书。</w:t>
            </w:r>
          </w:p>
          <w:p w14:paraId="2A963E21">
            <w:pPr>
              <w:pStyle w:val="180"/>
            </w:pPr>
            <w:r>
              <w:rPr>
                <w:rFonts w:hint="eastAsia"/>
              </w:rPr>
              <w:t>网口标记设备是否支持网口通信接口。</w:t>
            </w:r>
          </w:p>
          <w:p w14:paraId="0CB096AF">
            <w:pPr>
              <w:pStyle w:val="180"/>
            </w:pPr>
            <w:r>
              <w:rPr>
                <w:rFonts w:hint="eastAsia"/>
              </w:rPr>
              <w:t>设备标记处于离线、在线、正常、故障、运行、报警、检修等状态。</w:t>
            </w:r>
          </w:p>
        </w:tc>
      </w:tr>
    </w:tbl>
    <w:p w14:paraId="73759912">
      <w:pPr>
        <w:pStyle w:val="78"/>
        <w:spacing w:before="156" w:after="156"/>
      </w:pPr>
      <w:bookmarkStart w:id="182" w:name="_Toc178153351"/>
      <w:r>
        <w:rPr>
          <w:rFonts w:hint="eastAsia"/>
        </w:rPr>
        <w:t>变量信息点表</w:t>
      </w:r>
      <w:bookmarkEnd w:id="182"/>
    </w:p>
    <w:p w14:paraId="27020690">
      <w:pPr>
        <w:pStyle w:val="56"/>
        <w:ind w:firstLine="420"/>
      </w:pPr>
      <w:r>
        <w:rPr>
          <w:rFonts w:hint="eastAsia"/>
        </w:rPr>
        <w:t>骨干水网信息化建设过程中，变量信息点表数据的采集见表A.6。</w:t>
      </w:r>
    </w:p>
    <w:p w14:paraId="6B1E6FA0">
      <w:pPr>
        <w:pStyle w:val="77"/>
        <w:spacing w:before="156" w:after="156"/>
      </w:pPr>
      <w:r>
        <w:rPr>
          <w:rFonts w:hint="eastAsia"/>
        </w:rPr>
        <w:t>变量信息点表</w:t>
      </w:r>
    </w:p>
    <w:tbl>
      <w:tblPr>
        <w:tblStyle w:val="26"/>
        <w:tblW w:w="934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72"/>
        <w:gridCol w:w="2600"/>
        <w:gridCol w:w="1869"/>
        <w:gridCol w:w="1518"/>
        <w:gridCol w:w="1189"/>
        <w:gridCol w:w="1394"/>
      </w:tblGrid>
      <w:tr w14:paraId="230DF8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772" w:type="dxa"/>
            <w:tcBorders>
              <w:top w:val="single" w:color="auto" w:sz="8" w:space="0"/>
              <w:bottom w:val="single" w:color="auto" w:sz="8" w:space="0"/>
            </w:tcBorders>
            <w:shd w:val="clear" w:color="auto" w:fill="auto"/>
            <w:vAlign w:val="center"/>
          </w:tcPr>
          <w:p w14:paraId="403018B7">
            <w:pPr>
              <w:widowControl/>
              <w:adjustRightInd/>
              <w:spacing w:line="240" w:lineRule="auto"/>
              <w:jc w:val="center"/>
              <w:rPr>
                <w:rFonts w:ascii="宋体" w:hAnsi="宋体" w:cs="宋体"/>
                <w:bCs/>
                <w:sz w:val="18"/>
                <w:szCs w:val="18"/>
              </w:rPr>
            </w:pPr>
            <w:r>
              <w:rPr>
                <w:rFonts w:hint="eastAsia" w:ascii="宋体" w:hAnsi="宋体" w:cs="宋体"/>
                <w:bCs/>
                <w:sz w:val="18"/>
                <w:szCs w:val="18"/>
              </w:rPr>
              <w:t>编号</w:t>
            </w:r>
          </w:p>
        </w:tc>
        <w:tc>
          <w:tcPr>
            <w:tcW w:w="2600" w:type="dxa"/>
            <w:tcBorders>
              <w:top w:val="single" w:color="auto" w:sz="8" w:space="0"/>
              <w:bottom w:val="single" w:color="auto" w:sz="8" w:space="0"/>
            </w:tcBorders>
            <w:shd w:val="clear" w:color="auto" w:fill="auto"/>
            <w:vAlign w:val="center"/>
          </w:tcPr>
          <w:p w14:paraId="11F8CB72">
            <w:pPr>
              <w:widowControl/>
              <w:adjustRightInd/>
              <w:spacing w:line="240" w:lineRule="auto"/>
              <w:jc w:val="center"/>
              <w:rPr>
                <w:rFonts w:ascii="宋体" w:hAnsi="宋体" w:cs="宋体"/>
                <w:bCs/>
                <w:sz w:val="18"/>
                <w:szCs w:val="18"/>
              </w:rPr>
            </w:pPr>
            <w:r>
              <w:rPr>
                <w:rFonts w:hint="eastAsia" w:ascii="宋体" w:hAnsi="宋体" w:cs="宋体"/>
                <w:bCs/>
                <w:sz w:val="18"/>
                <w:szCs w:val="18"/>
              </w:rPr>
              <w:t>变量名称</w:t>
            </w:r>
          </w:p>
        </w:tc>
        <w:tc>
          <w:tcPr>
            <w:tcW w:w="1869" w:type="dxa"/>
            <w:tcBorders>
              <w:top w:val="single" w:color="auto" w:sz="8" w:space="0"/>
              <w:bottom w:val="single" w:color="auto" w:sz="8" w:space="0"/>
            </w:tcBorders>
            <w:shd w:val="clear" w:color="auto" w:fill="auto"/>
            <w:vAlign w:val="center"/>
          </w:tcPr>
          <w:p w14:paraId="2313C50E">
            <w:pPr>
              <w:widowControl/>
              <w:adjustRightInd/>
              <w:spacing w:line="240" w:lineRule="auto"/>
              <w:jc w:val="center"/>
              <w:rPr>
                <w:rFonts w:ascii="宋体" w:hAnsi="宋体" w:cs="宋体"/>
                <w:bCs/>
                <w:sz w:val="18"/>
                <w:szCs w:val="18"/>
              </w:rPr>
            </w:pPr>
            <w:r>
              <w:rPr>
                <w:rFonts w:hint="eastAsia" w:ascii="宋体" w:hAnsi="宋体" w:cs="宋体"/>
                <w:bCs/>
                <w:sz w:val="18"/>
                <w:szCs w:val="18"/>
              </w:rPr>
              <w:t>设备名称</w:t>
            </w:r>
          </w:p>
        </w:tc>
        <w:tc>
          <w:tcPr>
            <w:tcW w:w="1518" w:type="dxa"/>
            <w:tcBorders>
              <w:top w:val="single" w:color="auto" w:sz="8" w:space="0"/>
              <w:bottom w:val="single" w:color="auto" w:sz="8" w:space="0"/>
            </w:tcBorders>
            <w:shd w:val="clear" w:color="auto" w:fill="auto"/>
            <w:vAlign w:val="center"/>
          </w:tcPr>
          <w:p w14:paraId="18851C9E">
            <w:pPr>
              <w:widowControl/>
              <w:adjustRightInd/>
              <w:spacing w:line="240" w:lineRule="auto"/>
              <w:jc w:val="center"/>
              <w:rPr>
                <w:rFonts w:ascii="宋体" w:hAnsi="宋体" w:cs="宋体"/>
                <w:bCs/>
                <w:sz w:val="18"/>
                <w:szCs w:val="18"/>
              </w:rPr>
            </w:pPr>
            <w:r>
              <w:rPr>
                <w:rFonts w:hint="eastAsia" w:ascii="宋体" w:hAnsi="宋体" w:cs="宋体"/>
                <w:bCs/>
                <w:sz w:val="18"/>
                <w:szCs w:val="18"/>
              </w:rPr>
              <w:t>寄存器地址</w:t>
            </w:r>
          </w:p>
        </w:tc>
        <w:tc>
          <w:tcPr>
            <w:tcW w:w="1189" w:type="dxa"/>
            <w:tcBorders>
              <w:top w:val="single" w:color="auto" w:sz="8" w:space="0"/>
              <w:bottom w:val="single" w:color="auto" w:sz="8" w:space="0"/>
            </w:tcBorders>
            <w:shd w:val="clear" w:color="auto" w:fill="auto"/>
            <w:vAlign w:val="center"/>
          </w:tcPr>
          <w:p w14:paraId="279B6AC7">
            <w:pPr>
              <w:widowControl/>
              <w:adjustRightInd/>
              <w:spacing w:line="240" w:lineRule="auto"/>
              <w:jc w:val="center"/>
              <w:rPr>
                <w:rFonts w:ascii="宋体" w:hAnsi="宋体" w:cs="宋体"/>
                <w:bCs/>
                <w:sz w:val="18"/>
                <w:szCs w:val="18"/>
              </w:rPr>
            </w:pPr>
            <w:r>
              <w:rPr>
                <w:rFonts w:hint="eastAsia" w:ascii="宋体" w:hAnsi="宋体" w:cs="宋体"/>
                <w:bCs/>
                <w:sz w:val="18"/>
                <w:szCs w:val="18"/>
              </w:rPr>
              <w:t>变量类型</w:t>
            </w:r>
          </w:p>
        </w:tc>
        <w:tc>
          <w:tcPr>
            <w:tcW w:w="1394" w:type="dxa"/>
            <w:tcBorders>
              <w:top w:val="single" w:color="auto" w:sz="8" w:space="0"/>
              <w:bottom w:val="single" w:color="auto" w:sz="8" w:space="0"/>
            </w:tcBorders>
            <w:shd w:val="clear" w:color="auto" w:fill="auto"/>
            <w:vAlign w:val="center"/>
          </w:tcPr>
          <w:p w14:paraId="0704BCA3">
            <w:pPr>
              <w:widowControl/>
              <w:adjustRightInd/>
              <w:spacing w:line="240" w:lineRule="auto"/>
              <w:jc w:val="center"/>
              <w:rPr>
                <w:rFonts w:ascii="宋体" w:hAnsi="宋体" w:cs="宋体"/>
                <w:bCs/>
                <w:sz w:val="18"/>
                <w:szCs w:val="18"/>
              </w:rPr>
            </w:pPr>
            <w:r>
              <w:rPr>
                <w:rFonts w:hint="eastAsia" w:ascii="宋体" w:hAnsi="宋体" w:cs="宋体"/>
                <w:bCs/>
                <w:sz w:val="18"/>
                <w:szCs w:val="18"/>
              </w:rPr>
              <w:t>取值范围</w:t>
            </w:r>
          </w:p>
        </w:tc>
      </w:tr>
      <w:tr w14:paraId="3197A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772" w:type="dxa"/>
            <w:tcBorders>
              <w:top w:val="single" w:color="auto" w:sz="8" w:space="0"/>
              <w:bottom w:val="single" w:color="auto" w:sz="8" w:space="0"/>
            </w:tcBorders>
            <w:shd w:val="clear" w:color="auto" w:fill="auto"/>
            <w:vAlign w:val="center"/>
          </w:tcPr>
          <w:p w14:paraId="6F91E7D9">
            <w:pPr>
              <w:widowControl/>
              <w:adjustRightInd/>
              <w:spacing w:line="240" w:lineRule="auto"/>
              <w:jc w:val="center"/>
              <w:rPr>
                <w:rFonts w:ascii="宋体" w:hAnsi="宋体" w:cs="宋体"/>
                <w:sz w:val="18"/>
                <w:szCs w:val="18"/>
              </w:rPr>
            </w:pPr>
          </w:p>
        </w:tc>
        <w:tc>
          <w:tcPr>
            <w:tcW w:w="2600" w:type="dxa"/>
            <w:tcBorders>
              <w:top w:val="single" w:color="auto" w:sz="8" w:space="0"/>
              <w:bottom w:val="single" w:color="auto" w:sz="8" w:space="0"/>
            </w:tcBorders>
            <w:shd w:val="clear" w:color="auto" w:fill="auto"/>
            <w:vAlign w:val="center"/>
          </w:tcPr>
          <w:p w14:paraId="16AA90B7">
            <w:pPr>
              <w:widowControl/>
              <w:adjustRightInd/>
              <w:spacing w:line="240" w:lineRule="auto"/>
              <w:rPr>
                <w:rFonts w:ascii="宋体" w:hAnsi="宋体" w:cs="宋体"/>
                <w:sz w:val="18"/>
                <w:szCs w:val="18"/>
              </w:rPr>
            </w:pPr>
          </w:p>
        </w:tc>
        <w:tc>
          <w:tcPr>
            <w:tcW w:w="1869" w:type="dxa"/>
            <w:tcBorders>
              <w:top w:val="single" w:color="auto" w:sz="8" w:space="0"/>
              <w:bottom w:val="single" w:color="auto" w:sz="8" w:space="0"/>
            </w:tcBorders>
            <w:shd w:val="clear" w:color="auto" w:fill="auto"/>
            <w:vAlign w:val="center"/>
          </w:tcPr>
          <w:p w14:paraId="19526781">
            <w:pPr>
              <w:widowControl/>
              <w:adjustRightInd/>
              <w:spacing w:line="240" w:lineRule="auto"/>
              <w:jc w:val="center"/>
              <w:rPr>
                <w:rFonts w:ascii="宋体" w:hAnsi="宋体" w:cs="宋体"/>
                <w:sz w:val="18"/>
                <w:szCs w:val="18"/>
              </w:rPr>
            </w:pPr>
          </w:p>
        </w:tc>
        <w:tc>
          <w:tcPr>
            <w:tcW w:w="1518" w:type="dxa"/>
            <w:tcBorders>
              <w:top w:val="single" w:color="auto" w:sz="8" w:space="0"/>
              <w:bottom w:val="single" w:color="auto" w:sz="8" w:space="0"/>
            </w:tcBorders>
            <w:shd w:val="clear" w:color="auto" w:fill="auto"/>
            <w:vAlign w:val="center"/>
          </w:tcPr>
          <w:p w14:paraId="433B8292">
            <w:pPr>
              <w:widowControl/>
              <w:adjustRightInd/>
              <w:spacing w:line="240" w:lineRule="auto"/>
              <w:jc w:val="center"/>
              <w:rPr>
                <w:rFonts w:ascii="宋体" w:hAnsi="宋体" w:cs="宋体"/>
                <w:sz w:val="18"/>
                <w:szCs w:val="18"/>
              </w:rPr>
            </w:pPr>
          </w:p>
        </w:tc>
        <w:tc>
          <w:tcPr>
            <w:tcW w:w="1189" w:type="dxa"/>
            <w:tcBorders>
              <w:top w:val="single" w:color="auto" w:sz="8" w:space="0"/>
              <w:bottom w:val="single" w:color="auto" w:sz="8" w:space="0"/>
            </w:tcBorders>
            <w:shd w:val="clear" w:color="auto" w:fill="auto"/>
            <w:vAlign w:val="center"/>
          </w:tcPr>
          <w:p w14:paraId="6B5860B9">
            <w:pPr>
              <w:widowControl/>
              <w:adjustRightInd/>
              <w:spacing w:line="240" w:lineRule="auto"/>
              <w:rPr>
                <w:rFonts w:ascii="宋体" w:hAnsi="宋体" w:cs="宋体"/>
                <w:sz w:val="18"/>
                <w:szCs w:val="18"/>
              </w:rPr>
            </w:pPr>
          </w:p>
        </w:tc>
        <w:tc>
          <w:tcPr>
            <w:tcW w:w="1394" w:type="dxa"/>
            <w:tcBorders>
              <w:top w:val="single" w:color="auto" w:sz="8" w:space="0"/>
              <w:bottom w:val="single" w:color="auto" w:sz="8" w:space="0"/>
            </w:tcBorders>
            <w:shd w:val="clear" w:color="auto" w:fill="auto"/>
            <w:vAlign w:val="center"/>
          </w:tcPr>
          <w:p w14:paraId="3854A34B">
            <w:pPr>
              <w:widowControl/>
              <w:adjustRightInd/>
              <w:spacing w:line="240" w:lineRule="auto"/>
              <w:rPr>
                <w:rFonts w:ascii="宋体" w:hAnsi="宋体" w:cs="宋体"/>
                <w:sz w:val="18"/>
                <w:szCs w:val="18"/>
              </w:rPr>
            </w:pPr>
          </w:p>
        </w:tc>
      </w:tr>
      <w:tr w14:paraId="7BBA4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342" w:type="dxa"/>
            <w:gridSpan w:val="6"/>
            <w:tcBorders>
              <w:top w:val="single" w:color="auto" w:sz="8" w:space="0"/>
              <w:bottom w:val="single" w:color="auto" w:sz="8" w:space="0"/>
            </w:tcBorders>
            <w:shd w:val="clear" w:color="auto" w:fill="auto"/>
            <w:vAlign w:val="center"/>
          </w:tcPr>
          <w:p w14:paraId="1DB84939">
            <w:pPr>
              <w:pStyle w:val="180"/>
              <w:numPr>
                <w:ilvl w:val="0"/>
                <w:numId w:val="35"/>
              </w:numPr>
            </w:pPr>
            <w:r>
              <w:rPr>
                <w:rFonts w:hint="eastAsia"/>
              </w:rPr>
              <w:t>变量名称是标记该变量属性（如开度、压力等）、数据类型等，具有唯一性，不可重复。</w:t>
            </w:r>
          </w:p>
          <w:p w14:paraId="53907174">
            <w:pPr>
              <w:pStyle w:val="180"/>
            </w:pPr>
            <w:r>
              <w:rPr>
                <w:rFonts w:hint="eastAsia"/>
              </w:rPr>
              <w:t>设备名称为变量所在设备的名称。</w:t>
            </w:r>
          </w:p>
          <w:p w14:paraId="68B128BF">
            <w:pPr>
              <w:pStyle w:val="180"/>
            </w:pPr>
            <w:r>
              <w:rPr>
                <w:rFonts w:hint="eastAsia"/>
              </w:rPr>
              <w:t>寄存器地址指的是寄存器所在设备的物理位置</w:t>
            </w:r>
            <w:r>
              <w:t>，CPU直接通过地址总线访问寄存器中的内容</w:t>
            </w:r>
            <w:r>
              <w:rPr>
                <w:rFonts w:hint="eastAsia"/>
              </w:rPr>
              <w:t>。</w:t>
            </w:r>
          </w:p>
          <w:p w14:paraId="216BDDBF">
            <w:pPr>
              <w:pStyle w:val="180"/>
            </w:pPr>
            <w:r>
              <w:rPr>
                <w:rFonts w:hint="eastAsia"/>
              </w:rPr>
              <w:t>变量类型分为离散型、整型、实型、字符型等。</w:t>
            </w:r>
          </w:p>
          <w:p w14:paraId="061B7B8F">
            <w:pPr>
              <w:pStyle w:val="180"/>
            </w:pPr>
            <w:r>
              <w:rPr>
                <w:rFonts w:hint="eastAsia"/>
              </w:rPr>
              <w:t>取值范围表示变量所能取到值的范围。</w:t>
            </w:r>
          </w:p>
        </w:tc>
      </w:tr>
    </w:tbl>
    <w:p w14:paraId="3F5AF9F6">
      <w:pPr>
        <w:pStyle w:val="198"/>
        <w:rPr>
          <w:vanish w:val="0"/>
        </w:rPr>
      </w:pPr>
    </w:p>
    <w:p w14:paraId="53D2E013">
      <w:pPr>
        <w:pStyle w:val="199"/>
        <w:rPr>
          <w:vanish w:val="0"/>
        </w:rPr>
      </w:pPr>
      <w:bookmarkStart w:id="183" w:name="_Toc177197759"/>
      <w:bookmarkEnd w:id="183"/>
    </w:p>
    <w:bookmarkEnd w:id="175"/>
    <w:p w14:paraId="13369E0D">
      <w:pPr>
        <w:pStyle w:val="56"/>
        <w:ind w:firstLine="0" w:firstLineChars="0"/>
        <w:jc w:val="center"/>
      </w:pPr>
      <w:bookmarkStart w:id="184" w:name="BookMark8"/>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a:stretch>
                      <a:fillRect/>
                    </a:stretch>
                  </pic:blipFill>
                  <pic:spPr>
                    <a:xfrm>
                      <a:off x="0" y="0"/>
                      <a:ext cx="1485900" cy="317500"/>
                    </a:xfrm>
                    <a:prstGeom prst="rect">
                      <a:avLst/>
                    </a:prstGeom>
                  </pic:spPr>
                </pic:pic>
              </a:graphicData>
            </a:graphic>
          </wp:inline>
        </w:drawing>
      </w:r>
      <w:bookmarkEnd w:id="184"/>
      <w:r>
        <w:t xml:space="preserve"> </w:t>
      </w:r>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9B12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6CD9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2096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7FF52">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8467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0352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8FD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22787">
    <w:pPr>
      <w:pStyle w:val="61"/>
    </w:pPr>
    <w:r>
      <w:fldChar w:fldCharType="begin"/>
    </w:r>
    <w:r>
      <w:instrText xml:space="preserve"> STYLEREF  标准文件_文件编号  \* MERGEFORMAT </w:instrText>
    </w:r>
    <w:r>
      <w:fldChar w:fldCharType="separate"/>
    </w:r>
    <w:r>
      <w:t>DB37/T 4764—2024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61BEE">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DB37/T 4764—2024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Full" w:cryptAlgorithmClass="hash" w:cryptAlgorithmType="typeAny" w:cryptAlgorithmSid="4" w:cryptSpinCount="100000" w:hash="7uzYhdGnKC4HhTESADbDGKEKkVU=" w:salt="nz1DQXIlhvXO3Vvawbnky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NTlhZWQzYmI4MTMyZjc5ZDBiNGFhZjQyMDE4ZTcifQ=="/>
  </w:docVars>
  <w:rsids>
    <w:rsidRoot w:val="0090193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0C9"/>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1BC"/>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574"/>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DC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07A7"/>
    <w:rsid w:val="00452D6B"/>
    <w:rsid w:val="00454484"/>
    <w:rsid w:val="0045517B"/>
    <w:rsid w:val="00463B77"/>
    <w:rsid w:val="00463C7B"/>
    <w:rsid w:val="004644A6"/>
    <w:rsid w:val="004659BD"/>
    <w:rsid w:val="00470775"/>
    <w:rsid w:val="004746B1"/>
    <w:rsid w:val="0047583F"/>
    <w:rsid w:val="00475DE8"/>
    <w:rsid w:val="00481C44"/>
    <w:rsid w:val="004845CA"/>
    <w:rsid w:val="00484936"/>
    <w:rsid w:val="00485C89"/>
    <w:rsid w:val="00486BE3"/>
    <w:rsid w:val="004905E4"/>
    <w:rsid w:val="00490A89"/>
    <w:rsid w:val="00490AB4"/>
    <w:rsid w:val="00492F02"/>
    <w:rsid w:val="004939AE"/>
    <w:rsid w:val="00497CD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223"/>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A19"/>
    <w:rsid w:val="006252D8"/>
    <w:rsid w:val="006259BC"/>
    <w:rsid w:val="0062636B"/>
    <w:rsid w:val="00632182"/>
    <w:rsid w:val="00632AE0"/>
    <w:rsid w:val="00633C17"/>
    <w:rsid w:val="00634D9E"/>
    <w:rsid w:val="00636E3E"/>
    <w:rsid w:val="006379F7"/>
    <w:rsid w:val="00637E4D"/>
    <w:rsid w:val="00640620"/>
    <w:rsid w:val="00641A1F"/>
    <w:rsid w:val="006432B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6C3"/>
    <w:rsid w:val="00722FBF"/>
    <w:rsid w:val="00722FC2"/>
    <w:rsid w:val="00724879"/>
    <w:rsid w:val="00724E1B"/>
    <w:rsid w:val="00725949"/>
    <w:rsid w:val="0072662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DA6"/>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FD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E24"/>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930"/>
    <w:rsid w:val="00902722"/>
    <w:rsid w:val="009027BC"/>
    <w:rsid w:val="009062E6"/>
    <w:rsid w:val="00911BE5"/>
    <w:rsid w:val="00913CA9"/>
    <w:rsid w:val="00914440"/>
    <w:rsid w:val="009145AE"/>
    <w:rsid w:val="009146CE"/>
    <w:rsid w:val="00914CA7"/>
    <w:rsid w:val="00915C3E"/>
    <w:rsid w:val="009161A8"/>
    <w:rsid w:val="009245F5"/>
    <w:rsid w:val="009249EC"/>
    <w:rsid w:val="009273B3"/>
    <w:rsid w:val="009305B5"/>
    <w:rsid w:val="0094251F"/>
    <w:rsid w:val="009429D5"/>
    <w:rsid w:val="00942BF1"/>
    <w:rsid w:val="0094312F"/>
    <w:rsid w:val="00945180"/>
    <w:rsid w:val="00945428"/>
    <w:rsid w:val="0094607B"/>
    <w:rsid w:val="00953604"/>
    <w:rsid w:val="0095496B"/>
    <w:rsid w:val="00954EBD"/>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7EE"/>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A48"/>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C97"/>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0870"/>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575A"/>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FC7"/>
    <w:rsid w:val="00E5408A"/>
    <w:rsid w:val="00E56800"/>
    <w:rsid w:val="00E60C63"/>
    <w:rsid w:val="00E62FF9"/>
    <w:rsid w:val="00E635D6"/>
    <w:rsid w:val="00E639BC"/>
    <w:rsid w:val="00E664CC"/>
    <w:rsid w:val="00E70388"/>
    <w:rsid w:val="00E70F92"/>
    <w:rsid w:val="00E71E30"/>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260326C"/>
    <w:rsid w:val="2C6C5422"/>
    <w:rsid w:val="3E247D68"/>
    <w:rsid w:val="4D7E11C4"/>
    <w:rsid w:val="7DBF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1382BEB6334716A3C4C81BC1FFB301"/>
        <w:style w:val=""/>
        <w:category>
          <w:name w:val="常规"/>
          <w:gallery w:val="placeholder"/>
        </w:category>
        <w:types>
          <w:type w:val="bbPlcHdr"/>
        </w:types>
        <w:behaviors>
          <w:behavior w:val="content"/>
        </w:behaviors>
        <w:description w:val=""/>
        <w:guid w:val="{8A268A8B-AADC-4170-A6F6-AD4F2FD9B215}"/>
      </w:docPartPr>
      <w:docPartBody>
        <w:p w14:paraId="1620D5D4">
          <w:pPr>
            <w:pStyle w:val="5"/>
          </w:pPr>
          <w:r>
            <w:rPr>
              <w:rStyle w:val="4"/>
              <w:rFonts w:hint="eastAsia"/>
            </w:rPr>
            <w:t>单击或点击此处输入文字。</w:t>
          </w:r>
        </w:p>
      </w:docPartBody>
    </w:docPart>
    <w:docPart>
      <w:docPartPr>
        <w:name w:val="2210F4A9D9514149AC47FA0AB2C24B49"/>
        <w:style w:val=""/>
        <w:category>
          <w:name w:val="常规"/>
          <w:gallery w:val="placeholder"/>
        </w:category>
        <w:types>
          <w:type w:val="bbPlcHdr"/>
        </w:types>
        <w:behaviors>
          <w:behavior w:val="content"/>
        </w:behaviors>
        <w:description w:val=""/>
        <w:guid w:val="{D2027BD7-8BA1-446D-B135-4E99C2180F1B}"/>
      </w:docPartPr>
      <w:docPartBody>
        <w:p w14:paraId="090AF8D4">
          <w:pPr>
            <w:pStyle w:val="6"/>
          </w:pPr>
          <w:r>
            <w:rPr>
              <w:rStyle w:val="4"/>
              <w:rFonts w:hint="eastAsia"/>
            </w:rPr>
            <w:t>选择一项。</w:t>
          </w:r>
        </w:p>
      </w:docPartBody>
    </w:docPart>
    <w:docPart>
      <w:docPartPr>
        <w:name w:val="B6C04ECD658C4D36A0E55EFDD044BECF"/>
        <w:style w:val=""/>
        <w:category>
          <w:name w:val="常规"/>
          <w:gallery w:val="placeholder"/>
        </w:category>
        <w:types>
          <w:type w:val="bbPlcHdr"/>
        </w:types>
        <w:behaviors>
          <w:behavior w:val="content"/>
        </w:behaviors>
        <w:description w:val=""/>
        <w:guid w:val="{2E546DE0-DB33-424F-B8E4-D5B81816561E}"/>
      </w:docPartPr>
      <w:docPartBody>
        <w:p w14:paraId="1FB2EAA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AE9"/>
    <w:rsid w:val="000E6064"/>
    <w:rsid w:val="001925AF"/>
    <w:rsid w:val="002405D5"/>
    <w:rsid w:val="002448EE"/>
    <w:rsid w:val="002964A9"/>
    <w:rsid w:val="003E5AE9"/>
    <w:rsid w:val="005B60ED"/>
    <w:rsid w:val="005C41D1"/>
    <w:rsid w:val="0088469B"/>
    <w:rsid w:val="00885448"/>
    <w:rsid w:val="00A7514D"/>
    <w:rsid w:val="00B24745"/>
    <w:rsid w:val="00C85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21382BEB6334716A3C4C81BC1FFB3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210F4A9D9514149AC47FA0AB2C24B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C04ECD658C4D36A0E55EFDD044BEC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A57760-3D83-41F6-AE34-A852C588A6FC}">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20</Pages>
  <Words>13697</Words>
  <Characters>14261</Characters>
  <Lines>134</Lines>
  <Paragraphs>37</Paragraphs>
  <TotalTime>90</TotalTime>
  <ScaleCrop>false</ScaleCrop>
  <LinksUpToDate>false</LinksUpToDate>
  <CharactersWithSpaces>14542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2021-03-29T03:30:00Z</dcterms:created>
  <dc:creator>李琰</dc:creator>
  <dc:description>&lt;config cover="true" show_menu="true" version="1.0.0" doctype="SDKXY"&gt;_x000d_
&lt;/config&gt;</dc:description>
  <cp:lastModifiedBy>LHT</cp:lastModifiedBy>
  <cp:lastPrinted>2020-08-30T10:00:00Z</cp:lastPrinted>
  <dcterms:modified xsi:type="dcterms:W3CDTF">2024-09-25T02:45:36Z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D733AA90F7E64147B2FC6540BFE7C77E_13</vt:lpwstr>
  </property>
</Properties>
</file>